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4B997706" w:rsidR="00C869F3" w:rsidRDefault="00A6412A" w:rsidP="00C869F3">
      <w:pPr>
        <w:spacing w:after="480"/>
      </w:pPr>
      <w:r>
        <w:rPr>
          <w:noProof/>
        </w:rPr>
        <w:drawing>
          <wp:inline distT="0" distB="0" distL="0" distR="0" wp14:anchorId="597803A3" wp14:editId="6C30689E">
            <wp:extent cx="2442845" cy="704850"/>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2845" cy="704850"/>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676E6475">
        <w:trPr>
          <w:tblHeader/>
        </w:trPr>
        <w:tc>
          <w:tcPr>
            <w:tcW w:w="3397" w:type="dxa"/>
            <w:tcBorders>
              <w:bottom w:val="single" w:sz="24"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24"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676E6475">
        <w:tc>
          <w:tcPr>
            <w:tcW w:w="3397" w:type="dxa"/>
            <w:tcBorders>
              <w:top w:val="single" w:sz="24"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24" w:space="0" w:color="auto"/>
            </w:tcBorders>
          </w:tcPr>
          <w:p w14:paraId="72FCD075" w14:textId="69E67D1A" w:rsidR="00333FAA" w:rsidRPr="005E3A10" w:rsidRDefault="00B56534" w:rsidP="00A53B04">
            <w:pPr>
              <w:rPr>
                <w:rFonts w:cs="Arial"/>
                <w:szCs w:val="24"/>
              </w:rPr>
            </w:pPr>
            <w:r>
              <w:rPr>
                <w:rFonts w:cs="Arial"/>
                <w:szCs w:val="24"/>
              </w:rPr>
              <w:t>29th</w:t>
            </w:r>
            <w:r w:rsidR="00F93DFC">
              <w:rPr>
                <w:rFonts w:cs="Arial"/>
                <w:szCs w:val="24"/>
              </w:rPr>
              <w:t xml:space="preserve"> </w:t>
            </w:r>
            <w:r w:rsidR="004F502C">
              <w:rPr>
                <w:rFonts w:cs="Arial"/>
                <w:szCs w:val="24"/>
              </w:rPr>
              <w:t>June</w:t>
            </w:r>
            <w:r w:rsidR="00F93DFC">
              <w:rPr>
                <w:rFonts w:cs="Arial"/>
                <w:szCs w:val="24"/>
              </w:rPr>
              <w:t xml:space="preserve"> </w:t>
            </w:r>
            <w:r w:rsidR="00360D7F">
              <w:rPr>
                <w:rFonts w:cs="Arial"/>
                <w:szCs w:val="24"/>
              </w:rPr>
              <w:t>2023</w:t>
            </w:r>
          </w:p>
        </w:tc>
      </w:tr>
      <w:tr w:rsidR="00333FAA" w14:paraId="3CC97725" w14:textId="77777777" w:rsidTr="676E6475">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2" w:type="dxa"/>
          </w:tcPr>
          <w:p w14:paraId="745F1103" w14:textId="116BEF27" w:rsidR="00333FAA" w:rsidRDefault="003A353F" w:rsidP="676E6475">
            <w:pPr>
              <w:rPr>
                <w:rFonts w:cs="Arial"/>
              </w:rPr>
            </w:pPr>
            <w:r w:rsidRPr="676E6475">
              <w:rPr>
                <w:rFonts w:cs="Arial"/>
              </w:rPr>
              <w:t xml:space="preserve">DLUHC Future High Streets Fund – Project Adjustment </w:t>
            </w:r>
            <w:r w:rsidR="00060E2D" w:rsidRPr="676E6475">
              <w:rPr>
                <w:rFonts w:cs="Arial"/>
              </w:rPr>
              <w:t xml:space="preserve">&amp; </w:t>
            </w:r>
            <w:r w:rsidRPr="676E6475">
              <w:rPr>
                <w:rFonts w:cs="Arial"/>
              </w:rPr>
              <w:t xml:space="preserve">Memorandum </w:t>
            </w:r>
            <w:r w:rsidRPr="2A141ABA">
              <w:rPr>
                <w:rFonts w:cs="Arial"/>
              </w:rPr>
              <w:t>o</w:t>
            </w:r>
            <w:r w:rsidR="26C17BC2" w:rsidRPr="2A141ABA">
              <w:rPr>
                <w:rFonts w:cs="Arial"/>
              </w:rPr>
              <w:t>f</w:t>
            </w:r>
            <w:r w:rsidRPr="676E6475">
              <w:rPr>
                <w:rFonts w:cs="Arial"/>
              </w:rPr>
              <w:t xml:space="preserve"> Understanding</w:t>
            </w:r>
          </w:p>
          <w:p w14:paraId="6D8FB2C1" w14:textId="093C964F" w:rsidR="0027574C" w:rsidRPr="005E3A10" w:rsidRDefault="0027574C" w:rsidP="00A53B04">
            <w:pPr>
              <w:rPr>
                <w:rFonts w:cs="Arial"/>
                <w:szCs w:val="24"/>
              </w:rPr>
            </w:pPr>
          </w:p>
        </w:tc>
      </w:tr>
      <w:tr w:rsidR="00333FAA" w14:paraId="32449166" w14:textId="77777777" w:rsidTr="676E6475">
        <w:tc>
          <w:tcPr>
            <w:tcW w:w="3397" w:type="dxa"/>
          </w:tcPr>
          <w:p w14:paraId="17ECA8FA" w14:textId="069993AD"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912" w:type="dxa"/>
          </w:tcPr>
          <w:p w14:paraId="68926D5D" w14:textId="77777777" w:rsidR="00333FAA" w:rsidRDefault="001C7E35" w:rsidP="003A353F">
            <w:pPr>
              <w:pStyle w:val="Infotext"/>
              <w:rPr>
                <w:rFonts w:cs="Arial"/>
                <w:sz w:val="24"/>
                <w:szCs w:val="24"/>
              </w:rPr>
            </w:pPr>
            <w:r w:rsidRPr="005E3A10">
              <w:rPr>
                <w:rFonts w:cs="Arial"/>
                <w:sz w:val="24"/>
                <w:szCs w:val="24"/>
              </w:rPr>
              <w:t xml:space="preserve">Yes </w:t>
            </w:r>
          </w:p>
          <w:p w14:paraId="223165C6" w14:textId="77777777" w:rsidR="00567CEB" w:rsidRPr="000A46E7" w:rsidRDefault="00567CEB" w:rsidP="00567CEB">
            <w:pPr>
              <w:pStyle w:val="Infotext"/>
              <w:rPr>
                <w:rFonts w:cs="Arial"/>
                <w:sz w:val="24"/>
                <w:szCs w:val="24"/>
              </w:rPr>
            </w:pPr>
            <w:r w:rsidRPr="00C71BB5">
              <w:rPr>
                <w:rFonts w:cs="Arial"/>
                <w:color w:val="000000" w:themeColor="text1"/>
                <w:sz w:val="24"/>
                <w:szCs w:val="24"/>
                <w:lang w:val="en-US"/>
              </w:rPr>
              <w:t>Relates to more than £500,000 and covers more than one ward</w:t>
            </w:r>
          </w:p>
          <w:p w14:paraId="3EADF2B3" w14:textId="18E371D3" w:rsidR="00567CEB" w:rsidRPr="005E3A10" w:rsidRDefault="00567CEB" w:rsidP="003A353F">
            <w:pPr>
              <w:pStyle w:val="Infotext"/>
              <w:rPr>
                <w:rFonts w:cs="Arial"/>
                <w:szCs w:val="24"/>
              </w:rPr>
            </w:pPr>
          </w:p>
        </w:tc>
      </w:tr>
      <w:tr w:rsidR="004D5D11" w14:paraId="79E96200" w14:textId="77777777" w:rsidTr="676E6475">
        <w:tc>
          <w:tcPr>
            <w:tcW w:w="3397" w:type="dxa"/>
          </w:tcPr>
          <w:p w14:paraId="0B8ABDC4" w14:textId="77777777" w:rsidR="004D5D11" w:rsidRPr="00C13A5F" w:rsidRDefault="004D5D11" w:rsidP="004D5D11">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355831E0" w14:textId="34C378DD" w:rsidR="008E3215" w:rsidRDefault="008E3215" w:rsidP="008E3215">
            <w:pPr>
              <w:pStyle w:val="Infotext"/>
              <w:rPr>
                <w:rFonts w:cs="Arial"/>
                <w:sz w:val="24"/>
                <w:szCs w:val="24"/>
              </w:rPr>
            </w:pPr>
            <w:r w:rsidRPr="008E3215">
              <w:rPr>
                <w:rFonts w:cs="Arial"/>
                <w:sz w:val="24"/>
                <w:szCs w:val="24"/>
              </w:rPr>
              <w:t>Dipti Patel</w:t>
            </w:r>
            <w:r w:rsidR="00ED6C21">
              <w:rPr>
                <w:rFonts w:cs="Arial"/>
                <w:sz w:val="24"/>
                <w:szCs w:val="24"/>
              </w:rPr>
              <w:t xml:space="preserve"> - </w:t>
            </w:r>
            <w:r w:rsidRPr="008E3215">
              <w:rPr>
                <w:rFonts w:cs="Arial"/>
                <w:sz w:val="24"/>
                <w:szCs w:val="24"/>
              </w:rPr>
              <w:t xml:space="preserve">Corporate Director of </w:t>
            </w:r>
            <w:proofErr w:type="gramStart"/>
            <w:r w:rsidRPr="008E3215">
              <w:rPr>
                <w:rFonts w:cs="Arial"/>
                <w:sz w:val="24"/>
                <w:szCs w:val="24"/>
              </w:rPr>
              <w:t>Place</w:t>
            </w:r>
            <w:r w:rsidR="00ED6C21">
              <w:rPr>
                <w:rFonts w:cs="Arial"/>
                <w:sz w:val="24"/>
                <w:szCs w:val="24"/>
              </w:rPr>
              <w:t>;</w:t>
            </w:r>
            <w:proofErr w:type="gramEnd"/>
          </w:p>
          <w:p w14:paraId="6D8F0230" w14:textId="77777777" w:rsidR="00ED6C21" w:rsidRPr="008E3215" w:rsidRDefault="00ED6C21" w:rsidP="008E3215">
            <w:pPr>
              <w:pStyle w:val="Infotext"/>
              <w:rPr>
                <w:rFonts w:cs="Arial"/>
                <w:sz w:val="24"/>
                <w:szCs w:val="24"/>
              </w:rPr>
            </w:pPr>
          </w:p>
          <w:p w14:paraId="2B112A00" w14:textId="3619FADD" w:rsidR="009C51B7" w:rsidRDefault="008E3215" w:rsidP="008E3215">
            <w:pPr>
              <w:pStyle w:val="Infotext"/>
              <w:rPr>
                <w:rFonts w:cs="Arial"/>
                <w:sz w:val="24"/>
                <w:szCs w:val="24"/>
              </w:rPr>
            </w:pPr>
            <w:r w:rsidRPr="008E3215">
              <w:rPr>
                <w:rFonts w:cs="Arial"/>
                <w:sz w:val="24"/>
                <w:szCs w:val="24"/>
              </w:rPr>
              <w:t>Mark Billington</w:t>
            </w:r>
            <w:r w:rsidR="00ED6C21">
              <w:rPr>
                <w:rFonts w:cs="Arial"/>
                <w:sz w:val="24"/>
                <w:szCs w:val="24"/>
              </w:rPr>
              <w:t xml:space="preserve"> - </w:t>
            </w:r>
            <w:r w:rsidRPr="008E3215">
              <w:rPr>
                <w:rFonts w:cs="Arial"/>
                <w:sz w:val="24"/>
                <w:szCs w:val="24"/>
              </w:rPr>
              <w:t>Director of Inclusive Economy</w:t>
            </w:r>
            <w:r w:rsidR="00ED6C21">
              <w:rPr>
                <w:rFonts w:cs="Arial"/>
                <w:sz w:val="24"/>
                <w:szCs w:val="24"/>
              </w:rPr>
              <w:t>,</w:t>
            </w:r>
            <w:r w:rsidRPr="008E3215">
              <w:rPr>
                <w:rFonts w:cs="Arial"/>
                <w:sz w:val="24"/>
                <w:szCs w:val="24"/>
              </w:rPr>
              <w:t xml:space="preserve"> </w:t>
            </w:r>
            <w:proofErr w:type="gramStart"/>
            <w:r w:rsidRPr="008E3215">
              <w:rPr>
                <w:rFonts w:cs="Arial"/>
                <w:sz w:val="24"/>
                <w:szCs w:val="24"/>
              </w:rPr>
              <w:t>Leisure</w:t>
            </w:r>
            <w:proofErr w:type="gramEnd"/>
            <w:r w:rsidRPr="008E3215">
              <w:rPr>
                <w:rFonts w:cs="Arial"/>
                <w:sz w:val="24"/>
                <w:szCs w:val="24"/>
              </w:rPr>
              <w:t xml:space="preserve"> </w:t>
            </w:r>
            <w:r w:rsidR="00ED6C21">
              <w:rPr>
                <w:rFonts w:cs="Arial"/>
                <w:sz w:val="24"/>
                <w:szCs w:val="24"/>
              </w:rPr>
              <w:t>and</w:t>
            </w:r>
            <w:r w:rsidRPr="008E3215">
              <w:rPr>
                <w:rFonts w:cs="Arial"/>
                <w:sz w:val="24"/>
                <w:szCs w:val="24"/>
              </w:rPr>
              <w:t xml:space="preserve"> Culture</w:t>
            </w:r>
          </w:p>
          <w:p w14:paraId="3798BF23" w14:textId="7F599760" w:rsidR="008E3215" w:rsidRPr="005E3A10" w:rsidRDefault="008E3215" w:rsidP="008E3215">
            <w:pPr>
              <w:pStyle w:val="Infotext"/>
              <w:rPr>
                <w:rFonts w:cs="Arial"/>
                <w:sz w:val="24"/>
                <w:szCs w:val="24"/>
              </w:rPr>
            </w:pPr>
          </w:p>
        </w:tc>
      </w:tr>
      <w:tr w:rsidR="004D5D11" w14:paraId="3B6FD8B1" w14:textId="77777777" w:rsidTr="676E6475">
        <w:tc>
          <w:tcPr>
            <w:tcW w:w="3397" w:type="dxa"/>
          </w:tcPr>
          <w:p w14:paraId="0961945D" w14:textId="540A47FB" w:rsidR="004D5D11" w:rsidRPr="00C13A5F" w:rsidRDefault="004D5D11" w:rsidP="004D5D11">
            <w:pPr>
              <w:pStyle w:val="Infotext"/>
              <w:spacing w:after="240"/>
              <w:rPr>
                <w:rFonts w:ascii="Arial Black" w:hAnsi="Arial Black"/>
              </w:rPr>
            </w:pPr>
            <w:r w:rsidRPr="00DB6C3D">
              <w:rPr>
                <w:rFonts w:ascii="Arial Black" w:hAnsi="Arial Black"/>
              </w:rPr>
              <w:t>Portfolio Holder:</w:t>
            </w:r>
          </w:p>
        </w:tc>
        <w:tc>
          <w:tcPr>
            <w:tcW w:w="4912" w:type="dxa"/>
          </w:tcPr>
          <w:p w14:paraId="634FD5FE" w14:textId="566DD05F" w:rsidR="00D46128" w:rsidRDefault="00D46128" w:rsidP="00D46128">
            <w:pPr>
              <w:pStyle w:val="Infotext"/>
              <w:rPr>
                <w:rFonts w:cs="Arial"/>
                <w:sz w:val="24"/>
                <w:szCs w:val="24"/>
              </w:rPr>
            </w:pPr>
            <w:r w:rsidRPr="69F6C955">
              <w:rPr>
                <w:rFonts w:cs="Arial"/>
                <w:sz w:val="24"/>
                <w:szCs w:val="24"/>
              </w:rPr>
              <w:t xml:space="preserve">Cllr Norman Stevenson – Portfolio Holder for Business, Employment </w:t>
            </w:r>
            <w:r w:rsidR="00ED6C21">
              <w:rPr>
                <w:rFonts w:cs="Arial"/>
                <w:sz w:val="24"/>
                <w:szCs w:val="24"/>
              </w:rPr>
              <w:t>and</w:t>
            </w:r>
            <w:r w:rsidRPr="69F6C955">
              <w:rPr>
                <w:rFonts w:cs="Arial"/>
                <w:sz w:val="24"/>
                <w:szCs w:val="24"/>
              </w:rPr>
              <w:t xml:space="preserve"> Property</w:t>
            </w:r>
          </w:p>
          <w:p w14:paraId="4DDFA3CD" w14:textId="77777777" w:rsidR="00ED6C21" w:rsidRPr="00D46128" w:rsidRDefault="00ED6C21" w:rsidP="00D46128">
            <w:pPr>
              <w:pStyle w:val="Infotext"/>
              <w:rPr>
                <w:rFonts w:cs="Arial"/>
                <w:sz w:val="24"/>
                <w:szCs w:val="24"/>
              </w:rPr>
            </w:pPr>
          </w:p>
          <w:p w14:paraId="651AF114" w14:textId="4ED00B4B" w:rsidR="00D46128" w:rsidRDefault="00D46128" w:rsidP="00D46128">
            <w:pPr>
              <w:pStyle w:val="Infotext"/>
              <w:rPr>
                <w:rFonts w:cs="Arial"/>
                <w:sz w:val="24"/>
                <w:szCs w:val="24"/>
              </w:rPr>
            </w:pPr>
            <w:r w:rsidRPr="00D46128">
              <w:rPr>
                <w:rFonts w:cs="Arial"/>
                <w:sz w:val="24"/>
                <w:szCs w:val="24"/>
              </w:rPr>
              <w:t>Cllr Anjana Patel</w:t>
            </w:r>
            <w:r w:rsidR="00ED6C21">
              <w:rPr>
                <w:rFonts w:cs="Arial"/>
                <w:sz w:val="24"/>
                <w:szCs w:val="24"/>
              </w:rPr>
              <w:t xml:space="preserve"> - </w:t>
            </w:r>
            <w:r w:rsidRPr="00D46128">
              <w:rPr>
                <w:rFonts w:cs="Arial"/>
                <w:sz w:val="24"/>
                <w:szCs w:val="24"/>
              </w:rPr>
              <w:t>Portfolio Holder for Environment and Community Safety</w:t>
            </w:r>
          </w:p>
          <w:p w14:paraId="520A8B41" w14:textId="77777777" w:rsidR="00ED6C21" w:rsidRPr="00D46128" w:rsidRDefault="00ED6C21" w:rsidP="00D46128">
            <w:pPr>
              <w:pStyle w:val="Infotext"/>
              <w:rPr>
                <w:rFonts w:cs="Arial"/>
                <w:sz w:val="24"/>
                <w:szCs w:val="24"/>
              </w:rPr>
            </w:pPr>
          </w:p>
          <w:p w14:paraId="3D083982" w14:textId="6211EC99" w:rsidR="004D5D11" w:rsidRDefault="00D46128" w:rsidP="00D46128">
            <w:pPr>
              <w:pStyle w:val="Infotext"/>
              <w:rPr>
                <w:rFonts w:cs="Arial"/>
                <w:sz w:val="24"/>
                <w:szCs w:val="24"/>
              </w:rPr>
            </w:pPr>
            <w:r w:rsidRPr="00D46128">
              <w:rPr>
                <w:rFonts w:cs="Arial"/>
                <w:sz w:val="24"/>
                <w:szCs w:val="24"/>
              </w:rPr>
              <w:t>Cllr David Ashton</w:t>
            </w:r>
            <w:r w:rsidR="00ED6C21">
              <w:rPr>
                <w:rFonts w:cs="Arial"/>
                <w:sz w:val="24"/>
                <w:szCs w:val="24"/>
              </w:rPr>
              <w:t xml:space="preserve"> - </w:t>
            </w:r>
            <w:r w:rsidRPr="00D46128">
              <w:rPr>
                <w:rFonts w:cs="Arial"/>
                <w:sz w:val="24"/>
                <w:szCs w:val="24"/>
              </w:rPr>
              <w:t xml:space="preserve">Portfolio Holder </w:t>
            </w:r>
            <w:r w:rsidR="000F76F0">
              <w:rPr>
                <w:rFonts w:cs="Arial"/>
                <w:sz w:val="24"/>
                <w:szCs w:val="24"/>
              </w:rPr>
              <w:t xml:space="preserve">for </w:t>
            </w:r>
            <w:r w:rsidRPr="00D46128">
              <w:rPr>
                <w:rFonts w:cs="Arial"/>
                <w:sz w:val="24"/>
                <w:szCs w:val="24"/>
              </w:rPr>
              <w:t>Finance and Human Resources</w:t>
            </w:r>
          </w:p>
          <w:p w14:paraId="39A9A01A" w14:textId="64697707" w:rsidR="00D46128" w:rsidRPr="005E3A10" w:rsidRDefault="00D46128" w:rsidP="00D46128">
            <w:pPr>
              <w:pStyle w:val="Infotext"/>
              <w:rPr>
                <w:rFonts w:cs="Arial"/>
                <w:color w:val="FF0000"/>
                <w:sz w:val="24"/>
                <w:szCs w:val="24"/>
              </w:rPr>
            </w:pPr>
          </w:p>
        </w:tc>
      </w:tr>
      <w:tr w:rsidR="004D5D11" w14:paraId="3CF618C8" w14:textId="77777777" w:rsidTr="676E6475">
        <w:tc>
          <w:tcPr>
            <w:tcW w:w="3397" w:type="dxa"/>
          </w:tcPr>
          <w:p w14:paraId="4CD8D092" w14:textId="77777777" w:rsidR="004D5D11" w:rsidRPr="00C13A5F" w:rsidRDefault="004D5D11" w:rsidP="004D5D11">
            <w:pPr>
              <w:pStyle w:val="Infotext"/>
              <w:spacing w:after="240"/>
              <w:rPr>
                <w:rFonts w:ascii="Arial Black" w:hAnsi="Arial Black"/>
              </w:rPr>
            </w:pPr>
            <w:r w:rsidRPr="00DB6C3D">
              <w:rPr>
                <w:rFonts w:ascii="Arial Black" w:hAnsi="Arial Black"/>
              </w:rPr>
              <w:t>Exempt:</w:t>
            </w:r>
          </w:p>
        </w:tc>
        <w:tc>
          <w:tcPr>
            <w:tcW w:w="4912" w:type="dxa"/>
          </w:tcPr>
          <w:p w14:paraId="755E47D1" w14:textId="452223CE" w:rsidR="004D5D11" w:rsidRPr="00D46128" w:rsidRDefault="004D5D11" w:rsidP="004D5D11">
            <w:pPr>
              <w:pStyle w:val="Infotext"/>
              <w:rPr>
                <w:rFonts w:cs="Arial"/>
                <w:sz w:val="24"/>
                <w:szCs w:val="24"/>
              </w:rPr>
            </w:pPr>
            <w:r w:rsidRPr="005E3A10">
              <w:rPr>
                <w:rFonts w:cs="Arial"/>
                <w:sz w:val="24"/>
                <w:szCs w:val="24"/>
              </w:rPr>
              <w:t>No</w:t>
            </w:r>
          </w:p>
        </w:tc>
      </w:tr>
      <w:tr w:rsidR="004D5D11" w14:paraId="577CD75A" w14:textId="77777777" w:rsidTr="676E6475">
        <w:tc>
          <w:tcPr>
            <w:tcW w:w="3397" w:type="dxa"/>
          </w:tcPr>
          <w:p w14:paraId="4821943C" w14:textId="77777777" w:rsidR="004D5D11" w:rsidRPr="00C13A5F" w:rsidRDefault="004D5D11" w:rsidP="004D5D11">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1F349D85" w:rsidR="00A23B35" w:rsidRPr="00A23B35" w:rsidRDefault="004D5D11" w:rsidP="00A23B35">
            <w:pPr>
              <w:pStyle w:val="Infotext"/>
              <w:rPr>
                <w:rFonts w:cs="Arial"/>
                <w:sz w:val="24"/>
                <w:szCs w:val="24"/>
              </w:rPr>
            </w:pPr>
            <w:r w:rsidRPr="005E3A10">
              <w:rPr>
                <w:rFonts w:cs="Arial"/>
                <w:sz w:val="24"/>
                <w:szCs w:val="24"/>
              </w:rPr>
              <w:t>Yes</w:t>
            </w:r>
          </w:p>
        </w:tc>
      </w:tr>
      <w:tr w:rsidR="004D5D11" w14:paraId="7E5497E1" w14:textId="77777777" w:rsidTr="676E6475">
        <w:tc>
          <w:tcPr>
            <w:tcW w:w="3397" w:type="dxa"/>
          </w:tcPr>
          <w:p w14:paraId="6B5E6A6A" w14:textId="77777777" w:rsidR="004D5D11" w:rsidRPr="00C13A5F" w:rsidRDefault="004D5D11" w:rsidP="004D5D11">
            <w:pPr>
              <w:pStyle w:val="Infotext"/>
              <w:spacing w:after="240"/>
              <w:rPr>
                <w:rFonts w:ascii="Arial Black" w:hAnsi="Arial Black" w:cs="Arial"/>
              </w:rPr>
            </w:pPr>
            <w:r>
              <w:rPr>
                <w:rFonts w:ascii="Arial Black" w:hAnsi="Arial Black" w:cs="Arial"/>
              </w:rPr>
              <w:t>Wards affected:</w:t>
            </w:r>
          </w:p>
        </w:tc>
        <w:tc>
          <w:tcPr>
            <w:tcW w:w="4912" w:type="dxa"/>
          </w:tcPr>
          <w:p w14:paraId="6F512DA7" w14:textId="4B35D869" w:rsidR="004D5D11" w:rsidRDefault="6C1AC6B4" w:rsidP="69F6C955">
            <w:pPr>
              <w:rPr>
                <w:rFonts w:cs="Arial"/>
              </w:rPr>
            </w:pPr>
            <w:r w:rsidRPr="69F6C955">
              <w:rPr>
                <w:rFonts w:cs="Arial"/>
              </w:rPr>
              <w:t>Greenhill, Harrow on the Hill, Headstone, Marlborough, West Harrow.</w:t>
            </w:r>
          </w:p>
          <w:p w14:paraId="52E38AE7" w14:textId="17F00DE1" w:rsidR="00DA3229" w:rsidRPr="00307F76" w:rsidRDefault="00DA3229" w:rsidP="69F6C955">
            <w:pPr>
              <w:rPr>
                <w:rFonts w:cs="Arial"/>
                <w:b/>
                <w:bCs/>
                <w:color w:val="FF0000"/>
              </w:rPr>
            </w:pPr>
          </w:p>
        </w:tc>
      </w:tr>
      <w:tr w:rsidR="004D5D11" w14:paraId="5F1445BF" w14:textId="77777777" w:rsidTr="676E6475">
        <w:tc>
          <w:tcPr>
            <w:tcW w:w="3397" w:type="dxa"/>
          </w:tcPr>
          <w:p w14:paraId="0E539C63" w14:textId="77777777" w:rsidR="004D5D11" w:rsidRPr="00C13A5F" w:rsidRDefault="004D5D11" w:rsidP="004D5D11">
            <w:pPr>
              <w:pStyle w:val="Infotext"/>
              <w:spacing w:after="240"/>
              <w:rPr>
                <w:rFonts w:ascii="Arial Black" w:hAnsi="Arial Black" w:cs="Arial"/>
              </w:rPr>
            </w:pPr>
            <w:r w:rsidRPr="00C13A5F">
              <w:rPr>
                <w:rFonts w:ascii="Arial Black" w:hAnsi="Arial Black" w:cs="Arial"/>
              </w:rPr>
              <w:t>Enclosures:</w:t>
            </w:r>
          </w:p>
        </w:tc>
        <w:tc>
          <w:tcPr>
            <w:tcW w:w="4912" w:type="dxa"/>
          </w:tcPr>
          <w:p w14:paraId="198E7D21" w14:textId="21570569" w:rsidR="004D5D11" w:rsidRPr="00C03B65" w:rsidRDefault="1911CF34" w:rsidP="272F05E4">
            <w:pPr>
              <w:rPr>
                <w:rFonts w:cs="Arial"/>
                <w:lang w:eastAsia="en-GB"/>
              </w:rPr>
            </w:pPr>
            <w:r w:rsidRPr="272F05E4">
              <w:rPr>
                <w:rFonts w:cs="Arial"/>
                <w:lang w:eastAsia="en-GB"/>
              </w:rPr>
              <w:t xml:space="preserve">Appendix 1 – </w:t>
            </w:r>
            <w:proofErr w:type="spellStart"/>
            <w:r w:rsidRPr="272F05E4">
              <w:rPr>
                <w:rFonts w:cs="Arial"/>
                <w:lang w:eastAsia="en-GB"/>
              </w:rPr>
              <w:t>EqIA</w:t>
            </w:r>
            <w:proofErr w:type="spellEnd"/>
            <w:r w:rsidRPr="272F05E4">
              <w:rPr>
                <w:rFonts w:cs="Arial"/>
                <w:lang w:eastAsia="en-GB"/>
              </w:rPr>
              <w:t xml:space="preserve"> Future High Streets Fund</w:t>
            </w:r>
          </w:p>
          <w:p w14:paraId="6668D730" w14:textId="14FAD62A" w:rsidR="004D5D11" w:rsidRPr="00C03B65" w:rsidRDefault="004D5D11" w:rsidP="004D5D11">
            <w:pPr>
              <w:pStyle w:val="Infotext"/>
              <w:rPr>
                <w:rFonts w:cs="Arial"/>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14:paraId="39320826" w14:textId="77777777" w:rsidTr="40376DDF">
        <w:trPr>
          <w:tblHeader/>
        </w:trPr>
        <w:tc>
          <w:tcPr>
            <w:tcW w:w="8309" w:type="dxa"/>
            <w:tcBorders>
              <w:top w:val="nil"/>
              <w:left w:val="nil"/>
              <w:right w:val="nil"/>
            </w:tcBorders>
          </w:tcPr>
          <w:p w14:paraId="088DCF6C" w14:textId="77777777" w:rsidR="00333FAA" w:rsidRDefault="00333FAA" w:rsidP="00605A4C">
            <w:pPr>
              <w:pStyle w:val="Heading2"/>
              <w:spacing w:after="240"/>
            </w:pPr>
            <w:r>
              <w:lastRenderedPageBreak/>
              <w:t>Section 1 – Summary and Recommendations</w:t>
            </w:r>
          </w:p>
          <w:p w14:paraId="3A67BFB3" w14:textId="263634A1" w:rsidR="00BC1390" w:rsidRPr="00BC1390" w:rsidRDefault="00BC1390" w:rsidP="00BC1390"/>
        </w:tc>
      </w:tr>
      <w:tr w:rsidR="00451C1D" w14:paraId="5D78E563" w14:textId="77777777" w:rsidTr="40376DDF">
        <w:trPr>
          <w:trHeight w:val="3558"/>
          <w:tblHeader/>
        </w:trPr>
        <w:tc>
          <w:tcPr>
            <w:tcW w:w="8309" w:type="dxa"/>
          </w:tcPr>
          <w:p w14:paraId="6B825FEB" w14:textId="6937F4F5" w:rsidR="008A7B2D" w:rsidRDefault="008A7B2D" w:rsidP="008A7B2D">
            <w:r>
              <w:t xml:space="preserve">This report provides an update on the Project Adjustment </w:t>
            </w:r>
            <w:r w:rsidR="00A12FC1">
              <w:t>request submitted</w:t>
            </w:r>
            <w:r>
              <w:t xml:space="preserve"> by </w:t>
            </w:r>
            <w:r w:rsidR="005669A9" w:rsidRPr="2323D29C">
              <w:rPr>
                <w:rFonts w:cs="Arial"/>
              </w:rPr>
              <w:t xml:space="preserve">The London Borough of </w:t>
            </w:r>
            <w:r w:rsidR="005669A9" w:rsidRPr="00EC15B0">
              <w:t>Harrow</w:t>
            </w:r>
            <w:r w:rsidR="005669A9">
              <w:t xml:space="preserve"> </w:t>
            </w:r>
            <w:r>
              <w:t>to the Department for Levelling Up, Housing and Communities (DLUHC) to re-allocate funding from the Future High Streets Fund to deliver a range of projects in Harrow Town Centre.</w:t>
            </w:r>
          </w:p>
          <w:p w14:paraId="711AAA0E" w14:textId="77777777" w:rsidR="00A12FC1" w:rsidRDefault="00A12FC1" w:rsidP="00877E98">
            <w:pPr>
              <w:rPr>
                <w:b/>
                <w:bCs/>
                <w:sz w:val="28"/>
                <w:szCs w:val="28"/>
              </w:rPr>
            </w:pPr>
          </w:p>
          <w:p w14:paraId="572B0AE9" w14:textId="1CD84E50" w:rsidR="00A12FC1" w:rsidRDefault="00877E98" w:rsidP="00877E98">
            <w:pPr>
              <w:rPr>
                <w:b/>
                <w:bCs/>
                <w:sz w:val="28"/>
                <w:szCs w:val="28"/>
              </w:rPr>
            </w:pPr>
            <w:r>
              <w:rPr>
                <w:b/>
                <w:bCs/>
                <w:sz w:val="28"/>
                <w:szCs w:val="28"/>
              </w:rPr>
              <w:t>Recommendations:</w:t>
            </w:r>
          </w:p>
          <w:p w14:paraId="2FCFA54B" w14:textId="72F9658A" w:rsidR="00877E98" w:rsidRDefault="00877E98" w:rsidP="2323D29C">
            <w:pPr>
              <w:rPr>
                <w:rFonts w:cs="Arial"/>
              </w:rPr>
            </w:pPr>
            <w:r>
              <w:t>Cabinet is requested to</w:t>
            </w:r>
          </w:p>
          <w:p w14:paraId="29DF6FB5" w14:textId="181186D0" w:rsidR="00877E98" w:rsidRDefault="00877E98" w:rsidP="00877E98">
            <w:pPr>
              <w:rPr>
                <w:rFonts w:cs="Arial"/>
              </w:rPr>
            </w:pPr>
            <w:r>
              <w:t xml:space="preserve">  </w:t>
            </w:r>
          </w:p>
          <w:p w14:paraId="6F6985C4" w14:textId="3825A312" w:rsidR="001A0DC6" w:rsidRDefault="00877E98" w:rsidP="00ED6C21">
            <w:pPr>
              <w:pStyle w:val="ListParagraph"/>
              <w:numPr>
                <w:ilvl w:val="0"/>
                <w:numId w:val="18"/>
              </w:numPr>
              <w:spacing w:line="256" w:lineRule="auto"/>
              <w:rPr>
                <w:rFonts w:cs="Arial"/>
              </w:rPr>
            </w:pPr>
            <w:r w:rsidRPr="40376DDF">
              <w:rPr>
                <w:rFonts w:cs="Arial"/>
              </w:rPr>
              <w:t>A</w:t>
            </w:r>
            <w:r w:rsidR="0011774E" w:rsidRPr="40376DDF">
              <w:rPr>
                <w:rFonts w:cs="Arial"/>
              </w:rPr>
              <w:t>gree</w:t>
            </w:r>
            <w:r w:rsidRPr="40376DDF">
              <w:rPr>
                <w:rFonts w:cs="Arial"/>
              </w:rPr>
              <w:t xml:space="preserve"> entry </w:t>
            </w:r>
            <w:r w:rsidR="0011774E" w:rsidRPr="40376DDF">
              <w:rPr>
                <w:rFonts w:cs="Arial"/>
              </w:rPr>
              <w:t>in</w:t>
            </w:r>
            <w:r w:rsidRPr="40376DDF">
              <w:rPr>
                <w:rFonts w:cs="Arial"/>
              </w:rPr>
              <w:t xml:space="preserve">to a revised Memorandum of Understanding between DLUHC and </w:t>
            </w:r>
            <w:r w:rsidR="5702E3CF" w:rsidRPr="2323D29C">
              <w:rPr>
                <w:rFonts w:cs="Arial"/>
              </w:rPr>
              <w:t xml:space="preserve">The London Borough of </w:t>
            </w:r>
            <w:r w:rsidR="007B6FED" w:rsidRPr="40376DDF">
              <w:rPr>
                <w:rFonts w:cs="Arial"/>
              </w:rPr>
              <w:t>Harrow to</w:t>
            </w:r>
            <w:r w:rsidRPr="40376DDF">
              <w:rPr>
                <w:rFonts w:cs="Arial"/>
              </w:rPr>
              <w:t xml:space="preserve"> use the grant from the Future High Street Fund to invest in the projects identified in Table 1.</w:t>
            </w:r>
          </w:p>
          <w:p w14:paraId="189464B3" w14:textId="2DFFE9F7" w:rsidR="001A0DC6" w:rsidRDefault="001A0DC6" w:rsidP="00ED6C21">
            <w:pPr>
              <w:spacing w:line="256" w:lineRule="auto"/>
              <w:ind w:firstLine="68"/>
              <w:rPr>
                <w:szCs w:val="24"/>
              </w:rPr>
            </w:pPr>
          </w:p>
          <w:p w14:paraId="55E48B18" w14:textId="308D5649" w:rsidR="001A0DC6" w:rsidRDefault="00877E98" w:rsidP="00ED6C21">
            <w:pPr>
              <w:pStyle w:val="ListParagraph"/>
              <w:numPr>
                <w:ilvl w:val="0"/>
                <w:numId w:val="18"/>
              </w:numPr>
              <w:spacing w:line="256" w:lineRule="auto"/>
              <w:rPr>
                <w:rFonts w:cs="Arial"/>
              </w:rPr>
            </w:pPr>
            <w:r w:rsidRPr="001A0DC6">
              <w:rPr>
                <w:rFonts w:cs="Arial"/>
                <w:lang w:val="en-US"/>
              </w:rPr>
              <w:t xml:space="preserve">Delegate authority to the Corporate Director </w:t>
            </w:r>
            <w:r w:rsidR="00AE383B">
              <w:rPr>
                <w:rFonts w:cs="Arial"/>
                <w:lang w:val="en-US"/>
              </w:rPr>
              <w:t xml:space="preserve">of </w:t>
            </w:r>
            <w:r w:rsidRPr="001A0DC6">
              <w:rPr>
                <w:rFonts w:cs="Arial"/>
                <w:lang w:val="en-US"/>
              </w:rPr>
              <w:t xml:space="preserve">Place </w:t>
            </w:r>
            <w:r w:rsidRPr="001A0DC6">
              <w:rPr>
                <w:rFonts w:cs="Arial"/>
              </w:rPr>
              <w:t>to</w:t>
            </w:r>
            <w:r w:rsidRPr="001A0DC6">
              <w:rPr>
                <w:rFonts w:cs="Arial"/>
                <w:lang w:val="en-US"/>
              </w:rPr>
              <w:t xml:space="preserve"> agree minor amendments to the Memorandum of Understanding </w:t>
            </w:r>
            <w:r w:rsidR="005936B2">
              <w:rPr>
                <w:rFonts w:cs="Arial"/>
                <w:lang w:val="en-US"/>
              </w:rPr>
              <w:t xml:space="preserve">following </w:t>
            </w:r>
            <w:r w:rsidRPr="001A0DC6">
              <w:rPr>
                <w:rFonts w:cs="Arial"/>
                <w:lang w:val="en-US"/>
              </w:rPr>
              <w:t xml:space="preserve">consultation with the </w:t>
            </w:r>
            <w:r w:rsidRPr="001A0DC6">
              <w:rPr>
                <w:rFonts w:cs="Arial"/>
              </w:rPr>
              <w:t>Portfolio Holder for Business, Employment &amp; Property, Portfolio Holder for Environment and Community Safety, Portfolio Holder Finance and Human Resources.</w:t>
            </w:r>
          </w:p>
          <w:p w14:paraId="420055A9" w14:textId="4DBF84E4" w:rsidR="001A0DC6" w:rsidRDefault="001A0DC6" w:rsidP="00ED6C21">
            <w:pPr>
              <w:spacing w:line="256" w:lineRule="auto"/>
              <w:ind w:firstLine="68"/>
              <w:rPr>
                <w:szCs w:val="24"/>
              </w:rPr>
            </w:pPr>
          </w:p>
          <w:p w14:paraId="3F43A768" w14:textId="6EC6FF74" w:rsidR="001A0DC6" w:rsidRPr="001A0DC6" w:rsidRDefault="00FE2515" w:rsidP="00ED6C21">
            <w:pPr>
              <w:pStyle w:val="ListParagraph"/>
              <w:numPr>
                <w:ilvl w:val="0"/>
                <w:numId w:val="18"/>
              </w:numPr>
              <w:spacing w:line="256" w:lineRule="auto"/>
              <w:rPr>
                <w:rFonts w:cs="Arial"/>
              </w:rPr>
            </w:pPr>
            <w:r>
              <w:t>D</w:t>
            </w:r>
            <w:r w:rsidRPr="00FE2515">
              <w:t>elegat</w:t>
            </w:r>
            <w:r>
              <w:t xml:space="preserve">e </w:t>
            </w:r>
            <w:r w:rsidRPr="00FE2515">
              <w:t>authority for the C</w:t>
            </w:r>
            <w:r>
              <w:t xml:space="preserve">orporate </w:t>
            </w:r>
            <w:r w:rsidRPr="00FE2515">
              <w:t>D</w:t>
            </w:r>
            <w:r>
              <w:t>irector of Place</w:t>
            </w:r>
            <w:r w:rsidRPr="00FE2515">
              <w:t xml:space="preserve"> </w:t>
            </w:r>
            <w:r w:rsidR="005936B2">
              <w:t>following</w:t>
            </w:r>
            <w:r w:rsidRPr="00FE2515">
              <w:t xml:space="preserve"> consultation with the Director of Finance and the respective </w:t>
            </w:r>
            <w:r w:rsidR="006F1751" w:rsidRPr="001A0DC6">
              <w:rPr>
                <w:rFonts w:cs="Arial"/>
              </w:rPr>
              <w:t>Portfolio Holder for Business, Employment &amp; Property, Portfolio Holder for Environment and Community Safety, Portfolio Holder Finance and Human Resources</w:t>
            </w:r>
            <w:r w:rsidRPr="00FE2515">
              <w:t xml:space="preserve"> to approve the tender pack</w:t>
            </w:r>
            <w:r w:rsidR="00576FC7">
              <w:t>s</w:t>
            </w:r>
            <w:r w:rsidRPr="00FE2515">
              <w:t xml:space="preserve"> at a future date</w:t>
            </w:r>
            <w:r w:rsidR="01433640">
              <w:t xml:space="preserve"> </w:t>
            </w:r>
          </w:p>
          <w:p w14:paraId="07C39053" w14:textId="429E9B7B" w:rsidR="2323D29C" w:rsidRDefault="2323D29C" w:rsidP="00216038">
            <w:pPr>
              <w:spacing w:line="256" w:lineRule="auto"/>
              <w:rPr>
                <w:szCs w:val="24"/>
              </w:rPr>
            </w:pPr>
          </w:p>
          <w:p w14:paraId="28D696AB" w14:textId="59DDEB16" w:rsidR="6702B644" w:rsidRDefault="6702B644" w:rsidP="00ED6C21">
            <w:pPr>
              <w:pStyle w:val="ListParagraph"/>
              <w:numPr>
                <w:ilvl w:val="0"/>
                <w:numId w:val="18"/>
              </w:numPr>
              <w:spacing w:line="256" w:lineRule="auto"/>
            </w:pPr>
            <w:r>
              <w:t xml:space="preserve">Delegate authority for the Corporate Director of Place </w:t>
            </w:r>
            <w:r w:rsidR="005936B2">
              <w:t>following</w:t>
            </w:r>
            <w:r>
              <w:t xml:space="preserve"> consultation with the Director of Finance and the respective </w:t>
            </w:r>
            <w:r w:rsidRPr="2323D29C">
              <w:rPr>
                <w:rFonts w:cs="Arial"/>
              </w:rPr>
              <w:t>Portfolio Holder for Business, Employment &amp; Property, Portfolio Holder for Environment and Community Safety, Portfolio Holder Finance and Human Resources to</w:t>
            </w:r>
            <w:r w:rsidRPr="2323D29C">
              <w:t xml:space="preserve"> award the contracts following a compliant procurement process.</w:t>
            </w:r>
          </w:p>
          <w:p w14:paraId="23DB1DF0" w14:textId="2D45A1C6" w:rsidR="2323D29C" w:rsidRDefault="2323D29C" w:rsidP="00EB0FA1">
            <w:pPr>
              <w:pStyle w:val="ListParagraph"/>
              <w:spacing w:line="256" w:lineRule="auto"/>
              <w:rPr>
                <w:szCs w:val="24"/>
              </w:rPr>
            </w:pPr>
          </w:p>
          <w:p w14:paraId="75558437" w14:textId="289D8D54" w:rsidR="00877E98" w:rsidRPr="001A0DC6" w:rsidRDefault="00877E98" w:rsidP="00ED6C21">
            <w:pPr>
              <w:pStyle w:val="ListParagraph"/>
              <w:numPr>
                <w:ilvl w:val="0"/>
                <w:numId w:val="18"/>
              </w:numPr>
              <w:spacing w:line="256" w:lineRule="auto"/>
              <w:rPr>
                <w:rFonts w:cs="Arial"/>
              </w:rPr>
            </w:pPr>
            <w:r>
              <w:t>Agree to consultation on future designs for capital programmes in Harrow Town Centre.</w:t>
            </w:r>
          </w:p>
          <w:p w14:paraId="0F167659" w14:textId="77777777" w:rsidR="002A04EC" w:rsidRDefault="002A04EC" w:rsidP="006F3436">
            <w:pPr>
              <w:rPr>
                <w:b/>
                <w:bCs/>
                <w:sz w:val="28"/>
                <w:szCs w:val="28"/>
              </w:rPr>
            </w:pPr>
          </w:p>
          <w:p w14:paraId="4A6CE8CB" w14:textId="3C7C7EBA" w:rsidR="00A12FC1" w:rsidRDefault="006F3436" w:rsidP="006F3436">
            <w:pPr>
              <w:rPr>
                <w:b/>
                <w:bCs/>
                <w:sz w:val="28"/>
                <w:szCs w:val="28"/>
              </w:rPr>
            </w:pPr>
            <w:r>
              <w:rPr>
                <w:b/>
                <w:bCs/>
                <w:sz w:val="28"/>
                <w:szCs w:val="28"/>
              </w:rPr>
              <w:t>Reason: (for recommendations)</w:t>
            </w:r>
          </w:p>
          <w:p w14:paraId="313BC81E" w14:textId="30B04FB8" w:rsidR="00451C1D" w:rsidRDefault="006F3436" w:rsidP="40376DDF">
            <w:r>
              <w:t xml:space="preserve">Cabinet agreed in January 2023 a further report be submitted to Cabinet to seek approval for the adjusted Future High Street project. The recommendations will enable investment in Harrow Town Centre to proceed. </w:t>
            </w:r>
            <w:r w:rsidR="00CA23A1">
              <w:t xml:space="preserve"> </w:t>
            </w:r>
            <w:r w:rsidR="39F53799">
              <w:t xml:space="preserve"> </w:t>
            </w:r>
          </w:p>
        </w:tc>
      </w:tr>
    </w:tbl>
    <w:p w14:paraId="51696546" w14:textId="77777777" w:rsidR="00A834C2" w:rsidRDefault="00A834C2" w:rsidP="19908547">
      <w:pPr>
        <w:spacing w:line="259" w:lineRule="auto"/>
      </w:pPr>
    </w:p>
    <w:p w14:paraId="6FF8343A" w14:textId="301AA68F" w:rsidR="2323D29C" w:rsidRDefault="2323D29C" w:rsidP="2323D29C">
      <w:pPr>
        <w:spacing w:line="259" w:lineRule="auto"/>
        <w:rPr>
          <w:rFonts w:ascii="Arial Black" w:hAnsi="Arial Black"/>
          <w:b/>
          <w:bCs/>
          <w:sz w:val="32"/>
          <w:szCs w:val="32"/>
        </w:rPr>
      </w:pPr>
    </w:p>
    <w:p w14:paraId="435DBFB1" w14:textId="1A2034F3" w:rsidR="2323D29C" w:rsidRDefault="2323D29C" w:rsidP="2323D29C">
      <w:pPr>
        <w:spacing w:line="259" w:lineRule="auto"/>
        <w:rPr>
          <w:rFonts w:ascii="Arial Black" w:hAnsi="Arial Black"/>
          <w:b/>
          <w:bCs/>
          <w:sz w:val="32"/>
          <w:szCs w:val="32"/>
        </w:rPr>
      </w:pPr>
    </w:p>
    <w:p w14:paraId="0204F38A" w14:textId="21839EA2" w:rsidR="00333FAA" w:rsidRDefault="00333FAA" w:rsidP="19908547">
      <w:pPr>
        <w:spacing w:line="259" w:lineRule="auto"/>
        <w:rPr>
          <w:rFonts w:ascii="Arial Black" w:hAnsi="Arial Black"/>
          <w:b/>
          <w:bCs/>
          <w:sz w:val="32"/>
          <w:szCs w:val="32"/>
        </w:rPr>
      </w:pPr>
      <w:r w:rsidRPr="00D35C25">
        <w:rPr>
          <w:rFonts w:ascii="Arial Black" w:hAnsi="Arial Black"/>
          <w:b/>
          <w:bCs/>
          <w:sz w:val="32"/>
          <w:szCs w:val="32"/>
        </w:rPr>
        <w:lastRenderedPageBreak/>
        <w:t>Section 2 – Report</w:t>
      </w:r>
    </w:p>
    <w:p w14:paraId="1CD89487" w14:textId="77777777" w:rsidR="005D2B32" w:rsidRDefault="005D2B32" w:rsidP="003B6BCF">
      <w:pPr>
        <w:textAlignment w:val="baseline"/>
        <w:rPr>
          <w:rFonts w:cs="Arial"/>
          <w:szCs w:val="24"/>
          <w:lang w:eastAsia="en-GB"/>
        </w:rPr>
      </w:pPr>
    </w:p>
    <w:p w14:paraId="00D80C9E" w14:textId="62398C79" w:rsidR="00550BA9" w:rsidRPr="00550BA9" w:rsidRDefault="00550BA9" w:rsidP="003B6BCF">
      <w:pPr>
        <w:textAlignment w:val="baseline"/>
        <w:rPr>
          <w:rFonts w:cs="Arial"/>
          <w:b/>
          <w:bCs/>
          <w:sz w:val="28"/>
          <w:szCs w:val="28"/>
          <w:lang w:eastAsia="en-GB"/>
        </w:rPr>
      </w:pPr>
      <w:r>
        <w:rPr>
          <w:rFonts w:cs="Arial"/>
          <w:b/>
          <w:bCs/>
          <w:sz w:val="28"/>
          <w:szCs w:val="28"/>
          <w:lang w:eastAsia="en-GB"/>
        </w:rPr>
        <w:t>Introduct</w:t>
      </w:r>
      <w:r w:rsidR="003F1BAF">
        <w:rPr>
          <w:rFonts w:cs="Arial"/>
          <w:b/>
          <w:bCs/>
          <w:sz w:val="28"/>
          <w:szCs w:val="28"/>
          <w:lang w:eastAsia="en-GB"/>
        </w:rPr>
        <w:t>ory Paragraph</w:t>
      </w:r>
    </w:p>
    <w:p w14:paraId="3BB63561" w14:textId="205CAF75" w:rsidR="003166A5" w:rsidRDefault="002B06A6" w:rsidP="001C6A67">
      <w:pPr>
        <w:textAlignment w:val="baseline"/>
        <w:rPr>
          <w:rFonts w:cs="Arial"/>
          <w:szCs w:val="24"/>
          <w:lang w:eastAsia="en-GB"/>
        </w:rPr>
      </w:pPr>
      <w:r>
        <w:rPr>
          <w:rFonts w:cs="Arial"/>
          <w:szCs w:val="24"/>
          <w:lang w:eastAsia="en-GB"/>
        </w:rPr>
        <w:t xml:space="preserve">This report sets out the next steps for the council </w:t>
      </w:r>
      <w:r w:rsidR="00F13072">
        <w:rPr>
          <w:rFonts w:cs="Arial"/>
          <w:szCs w:val="24"/>
          <w:lang w:eastAsia="en-GB"/>
        </w:rPr>
        <w:t xml:space="preserve">following </w:t>
      </w:r>
      <w:r w:rsidR="008E6D2F">
        <w:rPr>
          <w:rFonts w:cs="Arial"/>
          <w:szCs w:val="24"/>
          <w:lang w:eastAsia="en-GB"/>
        </w:rPr>
        <w:t xml:space="preserve">the Department for Levelling Up, Housing and Communities </w:t>
      </w:r>
      <w:r w:rsidR="00382551">
        <w:rPr>
          <w:rFonts w:cs="Arial"/>
          <w:szCs w:val="24"/>
          <w:lang w:eastAsia="en-GB"/>
        </w:rPr>
        <w:t xml:space="preserve">(DLUHC) </w:t>
      </w:r>
      <w:r w:rsidR="008E6D2F">
        <w:rPr>
          <w:rFonts w:cs="Arial"/>
          <w:szCs w:val="24"/>
          <w:lang w:eastAsia="en-GB"/>
        </w:rPr>
        <w:t>approv</w:t>
      </w:r>
      <w:r w:rsidR="00F13072">
        <w:rPr>
          <w:rFonts w:cs="Arial"/>
          <w:szCs w:val="24"/>
          <w:lang w:eastAsia="en-GB"/>
        </w:rPr>
        <w:t>al of</w:t>
      </w:r>
      <w:r w:rsidR="008E6D2F">
        <w:rPr>
          <w:rFonts w:cs="Arial"/>
          <w:szCs w:val="24"/>
          <w:lang w:eastAsia="en-GB"/>
        </w:rPr>
        <w:t xml:space="preserve"> the Council’s </w:t>
      </w:r>
      <w:r w:rsidR="00382551">
        <w:rPr>
          <w:rFonts w:cs="Arial"/>
          <w:szCs w:val="24"/>
          <w:lang w:eastAsia="en-GB"/>
        </w:rPr>
        <w:t>proposals for Harrow Town Centre as submitted in the Project Adjustment Form to DLUHC in February 2023.</w:t>
      </w:r>
      <w:r w:rsidR="00E90854">
        <w:rPr>
          <w:rFonts w:cs="Arial"/>
          <w:szCs w:val="24"/>
          <w:lang w:eastAsia="en-GB"/>
        </w:rPr>
        <w:t xml:space="preserve">The </w:t>
      </w:r>
      <w:r w:rsidR="00A42057">
        <w:rPr>
          <w:rFonts w:cs="Arial"/>
          <w:szCs w:val="24"/>
          <w:lang w:eastAsia="en-GB"/>
        </w:rPr>
        <w:t xml:space="preserve">report follows on from January’s Cabinet report where it was agreed </w:t>
      </w:r>
      <w:r w:rsidR="00A42057" w:rsidRPr="0065278C">
        <w:rPr>
          <w:rFonts w:cs="Arial"/>
          <w:szCs w:val="24"/>
        </w:rPr>
        <w:t>to stop the Future High Streets project to deliver a footbridge connecting Harrow View East to Wealdstone District Centre and to deliver a project in Harrow Town Centre</w:t>
      </w:r>
      <w:r w:rsidR="00A42057" w:rsidRPr="00B06734">
        <w:rPr>
          <w:rFonts w:cs="Arial"/>
          <w:szCs w:val="24"/>
        </w:rPr>
        <w:t>.</w:t>
      </w:r>
      <w:r w:rsidR="0005699E" w:rsidRPr="00986E3A">
        <w:rPr>
          <w:rFonts w:cs="Arial"/>
          <w:szCs w:val="24"/>
        </w:rPr>
        <w:t xml:space="preserve"> </w:t>
      </w:r>
    </w:p>
    <w:p w14:paraId="0F3A8B27" w14:textId="77777777" w:rsidR="004C5538" w:rsidRDefault="004C5538" w:rsidP="19908547">
      <w:pPr>
        <w:spacing w:line="259" w:lineRule="auto"/>
      </w:pPr>
    </w:p>
    <w:p w14:paraId="0A078380" w14:textId="218C5384" w:rsidR="00AD1E77" w:rsidRPr="005D2B32" w:rsidRDefault="001C7E35" w:rsidP="19908547">
      <w:pPr>
        <w:spacing w:line="259" w:lineRule="auto"/>
        <w:rPr>
          <w:b/>
          <w:bCs/>
          <w:sz w:val="28"/>
          <w:szCs w:val="28"/>
        </w:rPr>
      </w:pPr>
      <w:r w:rsidRPr="005D2B32">
        <w:rPr>
          <w:b/>
          <w:bCs/>
          <w:sz w:val="28"/>
          <w:szCs w:val="28"/>
        </w:rPr>
        <w:t>Options considered</w:t>
      </w:r>
    </w:p>
    <w:p w14:paraId="76BCD537" w14:textId="77777777" w:rsidR="003B6BCF" w:rsidRDefault="003B6BCF" w:rsidP="003B6BCF">
      <w:pPr>
        <w:spacing w:line="259" w:lineRule="auto"/>
      </w:pPr>
      <w:r>
        <w:t xml:space="preserve">The following options were considered in the recommendation to Cabinet. </w:t>
      </w:r>
    </w:p>
    <w:p w14:paraId="5D847BA8" w14:textId="77777777" w:rsidR="00B356A7" w:rsidRDefault="00B356A7" w:rsidP="19908547">
      <w:pPr>
        <w:spacing w:line="259" w:lineRule="auto"/>
      </w:pPr>
    </w:p>
    <w:p w14:paraId="64DF58D9" w14:textId="156F1317" w:rsidR="00F84FC2" w:rsidRDefault="00B356A7" w:rsidP="19908547">
      <w:pPr>
        <w:spacing w:line="259" w:lineRule="auto"/>
      </w:pPr>
      <w:r>
        <w:t>Option A</w:t>
      </w:r>
    </w:p>
    <w:p w14:paraId="19365400" w14:textId="014BC709" w:rsidR="00F84FC2" w:rsidRPr="00EC15B0" w:rsidRDefault="00F6369D" w:rsidP="19908547">
      <w:pPr>
        <w:spacing w:line="259" w:lineRule="auto"/>
      </w:pPr>
      <w:r w:rsidRPr="00EC15B0">
        <w:t>Agree t</w:t>
      </w:r>
      <w:r w:rsidR="00C61C51" w:rsidRPr="00EC15B0">
        <w:t xml:space="preserve">o a revised Memorandum of Understanding between </w:t>
      </w:r>
      <w:r w:rsidR="006A3403" w:rsidRPr="00986E3A">
        <w:t>DLUHC</w:t>
      </w:r>
      <w:r w:rsidR="00C61C51" w:rsidRPr="00EC15B0">
        <w:t xml:space="preserve"> and </w:t>
      </w:r>
      <w:r w:rsidR="6B914E81" w:rsidRPr="2323D29C">
        <w:rPr>
          <w:rFonts w:cs="Arial"/>
        </w:rPr>
        <w:t xml:space="preserve">The London Borough of </w:t>
      </w:r>
      <w:r w:rsidR="007B6FED" w:rsidRPr="00EC15B0">
        <w:t>Harrow to</w:t>
      </w:r>
      <w:r w:rsidR="00C61C51" w:rsidRPr="00EC15B0">
        <w:t xml:space="preserve"> </w:t>
      </w:r>
      <w:r w:rsidRPr="00EC15B0">
        <w:t xml:space="preserve">use </w:t>
      </w:r>
      <w:r w:rsidR="00C61C51" w:rsidRPr="00EC15B0">
        <w:t xml:space="preserve">the grant </w:t>
      </w:r>
      <w:r w:rsidRPr="00EC15B0">
        <w:t xml:space="preserve">from the Future High Street Fund </w:t>
      </w:r>
      <w:r w:rsidR="00C61C51" w:rsidRPr="00EC15B0">
        <w:t xml:space="preserve">to </w:t>
      </w:r>
      <w:r w:rsidRPr="00EC15B0">
        <w:t xml:space="preserve">be </w:t>
      </w:r>
      <w:r w:rsidR="00F84FC2" w:rsidRPr="00EC15B0">
        <w:t xml:space="preserve">invested </w:t>
      </w:r>
      <w:r w:rsidRPr="00EC15B0">
        <w:t xml:space="preserve">in </w:t>
      </w:r>
      <w:r w:rsidR="00C61C51" w:rsidRPr="00EC15B0">
        <w:t>the projects identified in Table 1.</w:t>
      </w:r>
      <w:r w:rsidRPr="00EC15B0">
        <w:t xml:space="preserve"> </w:t>
      </w:r>
    </w:p>
    <w:p w14:paraId="00A075E5" w14:textId="77777777" w:rsidR="00B356A7" w:rsidRPr="00B356A7" w:rsidRDefault="00B356A7" w:rsidP="19908547">
      <w:pPr>
        <w:spacing w:line="259" w:lineRule="auto"/>
      </w:pPr>
    </w:p>
    <w:p w14:paraId="2B79A26A" w14:textId="77777777" w:rsidR="00EC15B0" w:rsidRDefault="00B356A7" w:rsidP="00D71D4B">
      <w:pPr>
        <w:spacing w:line="259" w:lineRule="auto"/>
      </w:pPr>
      <w:r>
        <w:t xml:space="preserve">Option B </w:t>
      </w:r>
    </w:p>
    <w:p w14:paraId="35D95B2A" w14:textId="6A984EB1" w:rsidR="00B356A7" w:rsidRPr="00B356A7" w:rsidRDefault="607F6FFF" w:rsidP="00D71D4B">
      <w:pPr>
        <w:spacing w:line="259" w:lineRule="auto"/>
      </w:pPr>
      <w:r>
        <w:t>N</w:t>
      </w:r>
      <w:r w:rsidR="15A7C901">
        <w:t xml:space="preserve">ot </w:t>
      </w:r>
      <w:r w:rsidR="228E21CD">
        <w:t>to</w:t>
      </w:r>
      <w:r w:rsidR="00B356A7">
        <w:t xml:space="preserve"> </w:t>
      </w:r>
      <w:proofErr w:type="gramStart"/>
      <w:r w:rsidR="00B356A7">
        <w:t>enter into</w:t>
      </w:r>
      <w:proofErr w:type="gramEnd"/>
      <w:r w:rsidR="00B356A7">
        <w:t xml:space="preserve"> a </w:t>
      </w:r>
      <w:r w:rsidR="00B252EA">
        <w:t xml:space="preserve">revised </w:t>
      </w:r>
      <w:r w:rsidR="00B356A7">
        <w:t>Memorandum of Understanding with DLUHC</w:t>
      </w:r>
      <w:r w:rsidR="00B252EA">
        <w:t xml:space="preserve"> </w:t>
      </w:r>
      <w:r w:rsidR="00345A35">
        <w:t xml:space="preserve">and not to </w:t>
      </w:r>
      <w:r w:rsidR="00D71D4B">
        <w:t xml:space="preserve">use </w:t>
      </w:r>
      <w:r w:rsidR="00CE4F72">
        <w:t>co-</w:t>
      </w:r>
      <w:r w:rsidR="00D71D4B">
        <w:t xml:space="preserve">funding in Harrow Town Centre. </w:t>
      </w:r>
      <w:r w:rsidR="00B356A7">
        <w:t xml:space="preserve">This would mean that the council would not </w:t>
      </w:r>
      <w:r w:rsidR="005621B5">
        <w:t xml:space="preserve">be able to invest in </w:t>
      </w:r>
      <w:r w:rsidR="00B356A7">
        <w:t>Harrow Town Centre</w:t>
      </w:r>
      <w:r w:rsidR="00EC15B0">
        <w:t>.</w:t>
      </w:r>
    </w:p>
    <w:p w14:paraId="6E8B322F" w14:textId="77777777" w:rsidR="00B356A7" w:rsidRPr="00B356A7" w:rsidRDefault="00B356A7" w:rsidP="19908547">
      <w:pPr>
        <w:spacing w:line="259" w:lineRule="auto"/>
      </w:pPr>
    </w:p>
    <w:p w14:paraId="6D112803" w14:textId="77777777" w:rsidR="00B356A7" w:rsidRPr="00B356A7" w:rsidRDefault="00B356A7" w:rsidP="19908547">
      <w:pPr>
        <w:spacing w:line="259" w:lineRule="auto"/>
      </w:pPr>
      <w:r>
        <w:t xml:space="preserve">Preferred Option </w:t>
      </w:r>
    </w:p>
    <w:p w14:paraId="21A9D02A" w14:textId="64311A4F" w:rsidR="00B356A7" w:rsidRPr="00B356A7" w:rsidRDefault="00B356A7" w:rsidP="19908547">
      <w:pPr>
        <w:spacing w:line="259" w:lineRule="auto"/>
      </w:pPr>
      <w:r>
        <w:t xml:space="preserve">Option A is the preferred option because it enables the Council to </w:t>
      </w:r>
      <w:r w:rsidR="00D625FE">
        <w:t xml:space="preserve">invest in Harrow Town Centre. </w:t>
      </w:r>
    </w:p>
    <w:p w14:paraId="2E973D48" w14:textId="77777777" w:rsidR="00C371C4" w:rsidRDefault="00C371C4" w:rsidP="19908547">
      <w:pPr>
        <w:spacing w:line="259" w:lineRule="auto"/>
      </w:pPr>
    </w:p>
    <w:p w14:paraId="5D089B1E" w14:textId="6A35D773" w:rsidR="00333FAA" w:rsidRPr="00C80C67" w:rsidRDefault="00333FAA" w:rsidP="19908547">
      <w:pPr>
        <w:spacing w:line="259" w:lineRule="auto"/>
        <w:rPr>
          <w:b/>
          <w:bCs/>
          <w:sz w:val="28"/>
          <w:szCs w:val="28"/>
        </w:rPr>
      </w:pPr>
      <w:r w:rsidRPr="00C80C67">
        <w:rPr>
          <w:b/>
          <w:bCs/>
          <w:sz w:val="28"/>
          <w:szCs w:val="28"/>
        </w:rPr>
        <w:t>Background</w:t>
      </w:r>
    </w:p>
    <w:p w14:paraId="4E6823F2" w14:textId="645027EB" w:rsidR="005F3D16" w:rsidRPr="005F3D16" w:rsidRDefault="53AC1704" w:rsidP="19908547">
      <w:pPr>
        <w:spacing w:line="259" w:lineRule="auto"/>
      </w:pPr>
      <w:r>
        <w:t xml:space="preserve">In 2021, </w:t>
      </w:r>
      <w:r w:rsidR="147DDAB5">
        <w:t>London Borough of</w:t>
      </w:r>
      <w:r w:rsidR="0083142A">
        <w:t xml:space="preserve"> </w:t>
      </w:r>
      <w:r w:rsidR="007B6FED">
        <w:t>Harrow successfully</w:t>
      </w:r>
      <w:r w:rsidR="005F3D16">
        <w:t xml:space="preserve"> secured £7.4m in funding from the Government’s Future High Streets Fund (FHSF) to deliver a project focussed on improving connectivity, inclusivity, and economic growth in Wealdstone Town Centre. This primarily focussed on the construction of a pedestrian bridge across the railway line that links the new housing on the “Kodak” development with Wealdstone town centre. </w:t>
      </w:r>
    </w:p>
    <w:p w14:paraId="0C37CDB7" w14:textId="77777777" w:rsidR="005F3D16" w:rsidRPr="005F3D16" w:rsidRDefault="005F3D16" w:rsidP="19908547">
      <w:pPr>
        <w:spacing w:line="259" w:lineRule="auto"/>
      </w:pPr>
    </w:p>
    <w:p w14:paraId="4297A873" w14:textId="119C0459" w:rsidR="00700E0E" w:rsidRDefault="00E60440" w:rsidP="00E60440">
      <w:pPr>
        <w:textAlignment w:val="baseline"/>
        <w:rPr>
          <w:rFonts w:cs="Arial"/>
          <w:szCs w:val="24"/>
        </w:rPr>
      </w:pPr>
      <w:r>
        <w:rPr>
          <w:rFonts w:cs="Arial"/>
          <w:szCs w:val="24"/>
        </w:rPr>
        <w:t>Following Cabinet approval in January</w:t>
      </w:r>
      <w:r w:rsidR="0083142A">
        <w:rPr>
          <w:rFonts w:cs="Arial"/>
          <w:szCs w:val="24"/>
        </w:rPr>
        <w:t xml:space="preserve"> 2023</w:t>
      </w:r>
      <w:r>
        <w:rPr>
          <w:rFonts w:cs="Arial"/>
          <w:szCs w:val="24"/>
        </w:rPr>
        <w:t xml:space="preserve">, a Project Adjustment Form was submitted </w:t>
      </w:r>
      <w:r w:rsidR="00C55D31">
        <w:rPr>
          <w:rFonts w:cs="Arial"/>
          <w:szCs w:val="24"/>
        </w:rPr>
        <w:t xml:space="preserve">in February 2023 </w:t>
      </w:r>
      <w:r>
        <w:rPr>
          <w:rFonts w:cs="Arial"/>
          <w:szCs w:val="24"/>
        </w:rPr>
        <w:t xml:space="preserve">to the </w:t>
      </w:r>
      <w:r w:rsidRPr="00CB489C">
        <w:rPr>
          <w:rFonts w:cs="Arial"/>
          <w:szCs w:val="24"/>
        </w:rPr>
        <w:t>Department for Levelling Up, Housing and Communities (DLUHC)</w:t>
      </w:r>
      <w:r>
        <w:rPr>
          <w:rFonts w:cs="Arial"/>
          <w:szCs w:val="24"/>
        </w:rPr>
        <w:t xml:space="preserve"> that set out the revised proposals for Harrow Metropolitan Town Centre. </w:t>
      </w:r>
    </w:p>
    <w:p w14:paraId="619F4C97" w14:textId="77777777" w:rsidR="00700E0E" w:rsidRDefault="00700E0E" w:rsidP="00E60440">
      <w:pPr>
        <w:textAlignment w:val="baseline"/>
        <w:rPr>
          <w:rFonts w:cs="Arial"/>
          <w:szCs w:val="24"/>
        </w:rPr>
      </w:pPr>
    </w:p>
    <w:p w14:paraId="61FC3DA0" w14:textId="0603AD16" w:rsidR="2323D29C" w:rsidRDefault="001B30C0" w:rsidP="00231AD1">
      <w:pPr>
        <w:textAlignment w:val="baseline"/>
        <w:rPr>
          <w:rFonts w:cs="Arial"/>
        </w:rPr>
      </w:pPr>
      <w:r w:rsidRPr="2323D29C">
        <w:rPr>
          <w:rFonts w:cs="Arial"/>
        </w:rPr>
        <w:t>The</w:t>
      </w:r>
      <w:r w:rsidR="007B5E29" w:rsidRPr="2323D29C">
        <w:rPr>
          <w:rFonts w:cs="Arial"/>
        </w:rPr>
        <w:t xml:space="preserve"> following three projects were included in the </w:t>
      </w:r>
      <w:r w:rsidR="00221E50" w:rsidRPr="2323D29C">
        <w:rPr>
          <w:rFonts w:cs="Arial"/>
        </w:rPr>
        <w:t xml:space="preserve">revised proposals submitted to DLUHC. </w:t>
      </w:r>
    </w:p>
    <w:p w14:paraId="37948A11" w14:textId="77777777" w:rsidR="006234AD" w:rsidRDefault="006234AD" w:rsidP="00E60440">
      <w:pPr>
        <w:textAlignment w:val="baseline"/>
        <w:rPr>
          <w:rFonts w:cs="Arial"/>
          <w:szCs w:val="24"/>
        </w:rPr>
      </w:pPr>
    </w:p>
    <w:p w14:paraId="7901D49E" w14:textId="3665E836" w:rsidR="00447C9A" w:rsidRPr="00447C9A" w:rsidRDefault="006234AD" w:rsidP="007B5E29">
      <w:pPr>
        <w:pStyle w:val="ListParagraph"/>
        <w:numPr>
          <w:ilvl w:val="0"/>
          <w:numId w:val="7"/>
        </w:numPr>
        <w:spacing w:line="259" w:lineRule="auto"/>
        <w:rPr>
          <w:u w:val="single"/>
        </w:rPr>
      </w:pPr>
      <w:r w:rsidRPr="00447C9A">
        <w:rPr>
          <w:u w:val="single"/>
        </w:rPr>
        <w:t>Public Realm</w:t>
      </w:r>
      <w:r w:rsidR="007B5E29" w:rsidRPr="00447C9A">
        <w:rPr>
          <w:u w:val="single"/>
        </w:rPr>
        <w:t xml:space="preserve"> </w:t>
      </w:r>
      <w:r w:rsidRPr="00447C9A">
        <w:rPr>
          <w:u w:val="single"/>
        </w:rPr>
        <w:t>Investment</w:t>
      </w:r>
    </w:p>
    <w:p w14:paraId="3D109E93" w14:textId="2E95EBE1" w:rsidR="006234AD" w:rsidRDefault="006234AD" w:rsidP="00447C9A">
      <w:pPr>
        <w:spacing w:line="259" w:lineRule="auto"/>
      </w:pPr>
      <w:r>
        <w:t xml:space="preserve">This will improve </w:t>
      </w:r>
      <w:r w:rsidR="00FF26A1">
        <w:t xml:space="preserve">pedestrian </w:t>
      </w:r>
      <w:r>
        <w:t>connectivity between Harrow on the Hill Station and the town centre, and between the adjacent residential areas and the town centre.</w:t>
      </w:r>
    </w:p>
    <w:p w14:paraId="41A04C43" w14:textId="77777777" w:rsidR="006234AD" w:rsidRDefault="006234AD" w:rsidP="006234AD">
      <w:pPr>
        <w:spacing w:line="259" w:lineRule="auto"/>
      </w:pPr>
    </w:p>
    <w:p w14:paraId="041C8CA4" w14:textId="6A1969BB" w:rsidR="00447C9A" w:rsidRPr="00447C9A" w:rsidRDefault="006234AD" w:rsidP="00447C9A">
      <w:pPr>
        <w:pStyle w:val="ListParagraph"/>
        <w:numPr>
          <w:ilvl w:val="0"/>
          <w:numId w:val="7"/>
        </w:numPr>
        <w:spacing w:line="259" w:lineRule="auto"/>
        <w:rPr>
          <w:u w:val="single"/>
        </w:rPr>
      </w:pPr>
      <w:r w:rsidRPr="00447C9A">
        <w:rPr>
          <w:u w:val="single"/>
        </w:rPr>
        <w:t>Meanwhile Use</w:t>
      </w:r>
      <w:r w:rsidR="00447C9A">
        <w:rPr>
          <w:u w:val="single"/>
        </w:rPr>
        <w:t xml:space="preserve"> in Greenhill Way Car Park</w:t>
      </w:r>
    </w:p>
    <w:p w14:paraId="632E3950" w14:textId="189BE110" w:rsidR="003149C0" w:rsidRDefault="003149C0" w:rsidP="00447C9A">
      <w:pPr>
        <w:spacing w:line="259" w:lineRule="auto"/>
      </w:pPr>
      <w:r w:rsidRPr="003149C0">
        <w:t xml:space="preserve">Development of affordable commercial workspace on Greenhill Way Car Park </w:t>
      </w:r>
      <w:r w:rsidR="00447C9A">
        <w:t xml:space="preserve">is proposed </w:t>
      </w:r>
      <w:r w:rsidRPr="003149C0">
        <w:t>to change the perception of the area, to attract people and increase footfall in the area, following the closure of Debenhams</w:t>
      </w:r>
      <w:r w:rsidR="00774F5F">
        <w:t>/Landmark.</w:t>
      </w:r>
      <w:r>
        <w:t xml:space="preserve"> </w:t>
      </w:r>
    </w:p>
    <w:p w14:paraId="2C38CD7C" w14:textId="6AD008FE" w:rsidR="003149C0" w:rsidRDefault="003149C0" w:rsidP="006234AD">
      <w:pPr>
        <w:spacing w:line="259" w:lineRule="auto"/>
      </w:pPr>
    </w:p>
    <w:p w14:paraId="6AF4F93A" w14:textId="3782C3FE" w:rsidR="006234AD" w:rsidRDefault="19839CA6" w:rsidP="00302A06">
      <w:pPr>
        <w:spacing w:line="259" w:lineRule="auto"/>
        <w:rPr>
          <w:rFonts w:cs="Arial"/>
        </w:rPr>
      </w:pPr>
      <w:r w:rsidRPr="2323D29C">
        <w:rPr>
          <w:rFonts w:cs="Arial"/>
        </w:rPr>
        <w:t xml:space="preserve">The London Borough of </w:t>
      </w:r>
      <w:r w:rsidR="007B6FED">
        <w:t>Harrow will</w:t>
      </w:r>
      <w:r w:rsidR="006234AD">
        <w:t xml:space="preserve"> enable the project by providing part of the car park as the project site, funding the procurement of the team and operator for the design and business case, together with the capital funding for the construction of the approved design proposal. </w:t>
      </w:r>
    </w:p>
    <w:p w14:paraId="530A0D65" w14:textId="77777777" w:rsidR="006234AD" w:rsidRDefault="006234AD" w:rsidP="006234AD">
      <w:pPr>
        <w:spacing w:line="259" w:lineRule="auto"/>
      </w:pPr>
    </w:p>
    <w:p w14:paraId="43B0C81D" w14:textId="77777777" w:rsidR="006234AD" w:rsidRDefault="006234AD" w:rsidP="006234AD">
      <w:pPr>
        <w:spacing w:line="259" w:lineRule="auto"/>
      </w:pPr>
      <w:r>
        <w:t xml:space="preserve">The finished development will then be leased to the successful operator with a signed agreement, and it will be the operator’s responsibility to manage the operation of the site for the next 5 years. </w:t>
      </w:r>
    </w:p>
    <w:p w14:paraId="6FF9D401" w14:textId="77777777" w:rsidR="006234AD" w:rsidRDefault="006234AD" w:rsidP="006234AD">
      <w:pPr>
        <w:spacing w:line="259" w:lineRule="auto"/>
      </w:pPr>
    </w:p>
    <w:p w14:paraId="5E47118A" w14:textId="77777777" w:rsidR="006234AD" w:rsidRDefault="006234AD" w:rsidP="006234AD">
      <w:pPr>
        <w:spacing w:line="259" w:lineRule="auto"/>
      </w:pPr>
      <w:r>
        <w:t>No further funding will be provided by the Council for the running of the project.</w:t>
      </w:r>
    </w:p>
    <w:p w14:paraId="6778B99E" w14:textId="77777777" w:rsidR="006234AD" w:rsidRDefault="006234AD" w:rsidP="006234AD">
      <w:pPr>
        <w:spacing w:line="259" w:lineRule="auto"/>
      </w:pPr>
    </w:p>
    <w:p w14:paraId="592CEBD6" w14:textId="3FEA6C5B" w:rsidR="00447C9A" w:rsidRPr="00447C9A" w:rsidRDefault="00447C9A" w:rsidP="00447C9A">
      <w:pPr>
        <w:pStyle w:val="ListParagraph"/>
        <w:numPr>
          <w:ilvl w:val="0"/>
          <w:numId w:val="7"/>
        </w:numPr>
        <w:spacing w:line="259" w:lineRule="auto"/>
        <w:rPr>
          <w:u w:val="single"/>
        </w:rPr>
      </w:pPr>
      <w:r w:rsidRPr="00447C9A">
        <w:rPr>
          <w:u w:val="single"/>
        </w:rPr>
        <w:t xml:space="preserve">New </w:t>
      </w:r>
      <w:r w:rsidR="006234AD" w:rsidRPr="00447C9A">
        <w:rPr>
          <w:u w:val="single"/>
        </w:rPr>
        <w:t>Kiosks</w:t>
      </w:r>
      <w:r w:rsidRPr="00447C9A">
        <w:rPr>
          <w:u w:val="single"/>
        </w:rPr>
        <w:t xml:space="preserve"> in St Ann’s Road</w:t>
      </w:r>
    </w:p>
    <w:p w14:paraId="65A89F5A" w14:textId="36C59D81" w:rsidR="00736ACD" w:rsidRDefault="00465581" w:rsidP="00736ACD">
      <w:pPr>
        <w:spacing w:line="259" w:lineRule="auto"/>
      </w:pPr>
      <w:r>
        <w:t xml:space="preserve">It is proposed to </w:t>
      </w:r>
      <w:r w:rsidR="00A14945">
        <w:t>r</w:t>
      </w:r>
      <w:r w:rsidR="006C20C8" w:rsidRPr="006C20C8">
        <w:t>eplace</w:t>
      </w:r>
      <w:r w:rsidR="00A14945">
        <w:t xml:space="preserve"> the</w:t>
      </w:r>
      <w:r w:rsidR="006C20C8" w:rsidRPr="006C20C8">
        <w:t xml:space="preserve"> existing kiosks </w:t>
      </w:r>
      <w:r w:rsidR="004720B9">
        <w:t xml:space="preserve">which are of poor quality </w:t>
      </w:r>
      <w:r w:rsidR="006C20C8" w:rsidRPr="006C20C8">
        <w:t>with new kiosks, which will have access to power and water, and be more secure.</w:t>
      </w:r>
      <w:r w:rsidR="006C20C8">
        <w:t xml:space="preserve"> </w:t>
      </w:r>
      <w:r w:rsidR="006234AD">
        <w:t>The design will be undertaken in house</w:t>
      </w:r>
      <w:r w:rsidR="009D50EB">
        <w:t xml:space="preserve">. </w:t>
      </w:r>
    </w:p>
    <w:p w14:paraId="0E0E6A7C" w14:textId="77777777" w:rsidR="00331922" w:rsidRDefault="00331922" w:rsidP="00736ACD">
      <w:pPr>
        <w:spacing w:line="259" w:lineRule="auto"/>
      </w:pPr>
    </w:p>
    <w:p w14:paraId="10F62048" w14:textId="2EA13387" w:rsidR="00736ACD" w:rsidRPr="00813843" w:rsidRDefault="00736ACD" w:rsidP="00736ACD">
      <w:pPr>
        <w:spacing w:line="259" w:lineRule="auto"/>
        <w:rPr>
          <w:b/>
          <w:bCs/>
        </w:rPr>
      </w:pPr>
      <w:r w:rsidRPr="00813843">
        <w:rPr>
          <w:b/>
          <w:bCs/>
        </w:rPr>
        <w:t xml:space="preserve">Table </w:t>
      </w:r>
      <w:r>
        <w:rPr>
          <w:b/>
          <w:bCs/>
        </w:rPr>
        <w:t xml:space="preserve">1 Harrow Town Centre </w:t>
      </w:r>
      <w:r w:rsidRPr="00813843">
        <w:rPr>
          <w:b/>
          <w:bCs/>
        </w:rPr>
        <w:t>Project</w:t>
      </w:r>
      <w:r>
        <w:rPr>
          <w:b/>
          <w:bCs/>
        </w:rPr>
        <w:t xml:space="preserve"> Costs &amp; Funding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693"/>
      </w:tblGrid>
      <w:tr w:rsidR="00E55F0D" w:rsidRPr="00AF64B9" w14:paraId="6403BA6A" w14:textId="77777777" w:rsidTr="008E2DA4">
        <w:trPr>
          <w:trHeight w:val="570"/>
          <w:tblHeader/>
        </w:trPr>
        <w:tc>
          <w:tcPr>
            <w:tcW w:w="6374" w:type="dxa"/>
            <w:shd w:val="clear" w:color="auto" w:fill="D9D9D9" w:themeFill="background1" w:themeFillShade="D9"/>
            <w:vAlign w:val="center"/>
          </w:tcPr>
          <w:p w14:paraId="56E0F899" w14:textId="50C7D37C" w:rsidR="00E55F0D" w:rsidRPr="00FA2C81" w:rsidRDefault="00E55F0D" w:rsidP="0015595A">
            <w:pPr>
              <w:spacing w:line="259" w:lineRule="auto"/>
              <w:rPr>
                <w:b/>
                <w:bCs/>
              </w:rPr>
            </w:pPr>
            <w:r w:rsidRPr="00FA2C81">
              <w:rPr>
                <w:b/>
                <w:bCs/>
              </w:rPr>
              <w:t xml:space="preserve">Project </w:t>
            </w:r>
            <w:r>
              <w:rPr>
                <w:b/>
                <w:bCs/>
              </w:rPr>
              <w:t xml:space="preserve">Name and </w:t>
            </w:r>
            <w:r w:rsidRPr="00FA2C81">
              <w:rPr>
                <w:b/>
                <w:bCs/>
              </w:rPr>
              <w:t>Description</w:t>
            </w:r>
          </w:p>
        </w:tc>
        <w:tc>
          <w:tcPr>
            <w:tcW w:w="2693" w:type="dxa"/>
            <w:shd w:val="clear" w:color="auto" w:fill="D9D9D9" w:themeFill="background1" w:themeFillShade="D9"/>
          </w:tcPr>
          <w:p w14:paraId="0FADF587" w14:textId="77777777" w:rsidR="00E55F0D" w:rsidRPr="00FA2C81" w:rsidRDefault="00E55F0D" w:rsidP="0015595A">
            <w:pPr>
              <w:spacing w:line="259" w:lineRule="auto"/>
              <w:rPr>
                <w:b/>
                <w:bCs/>
              </w:rPr>
            </w:pPr>
            <w:r w:rsidRPr="00FA2C81">
              <w:rPr>
                <w:b/>
                <w:bCs/>
              </w:rPr>
              <w:t>Project Cost</w:t>
            </w:r>
          </w:p>
          <w:p w14:paraId="1FB0FDC2" w14:textId="77777777" w:rsidR="00E55F0D" w:rsidRPr="00FA2C81" w:rsidRDefault="00E55F0D" w:rsidP="0015595A">
            <w:pPr>
              <w:spacing w:line="259" w:lineRule="auto"/>
              <w:rPr>
                <w:b/>
                <w:bCs/>
              </w:rPr>
            </w:pPr>
            <w:r>
              <w:rPr>
                <w:b/>
                <w:bCs/>
              </w:rPr>
              <w:t>(</w:t>
            </w:r>
            <w:proofErr w:type="spellStart"/>
            <w:proofErr w:type="gramStart"/>
            <w:r w:rsidRPr="00FA2C81">
              <w:rPr>
                <w:b/>
                <w:bCs/>
              </w:rPr>
              <w:t>incl</w:t>
            </w:r>
            <w:proofErr w:type="spellEnd"/>
            <w:proofErr w:type="gramEnd"/>
            <w:r w:rsidRPr="00FA2C81">
              <w:rPr>
                <w:b/>
                <w:bCs/>
              </w:rPr>
              <w:t xml:space="preserve"> contingency and professional fees</w:t>
            </w:r>
            <w:r>
              <w:rPr>
                <w:b/>
                <w:bCs/>
              </w:rPr>
              <w:t>)</w:t>
            </w:r>
          </w:p>
        </w:tc>
      </w:tr>
      <w:tr w:rsidR="00E55F0D" w:rsidRPr="00AF64B9" w14:paraId="7160C719" w14:textId="77777777" w:rsidTr="008E2DA4">
        <w:trPr>
          <w:trHeight w:val="855"/>
        </w:trPr>
        <w:tc>
          <w:tcPr>
            <w:tcW w:w="6374" w:type="dxa"/>
            <w:shd w:val="clear" w:color="auto" w:fill="auto"/>
            <w:vAlign w:val="center"/>
          </w:tcPr>
          <w:p w14:paraId="490457B9" w14:textId="350D14D8" w:rsidR="00E55F0D" w:rsidRPr="00AF64B9" w:rsidRDefault="00E55F0D" w:rsidP="0015595A">
            <w:pPr>
              <w:spacing w:line="259" w:lineRule="auto"/>
            </w:pPr>
            <w:r w:rsidRPr="000F1E99">
              <w:t xml:space="preserve">Public Realm </w:t>
            </w:r>
            <w:r>
              <w:t>- Investment in the public realm on College Road, Clarendon Road, Pinner Road, St Ann’s Road.</w:t>
            </w:r>
          </w:p>
        </w:tc>
        <w:tc>
          <w:tcPr>
            <w:tcW w:w="2693" w:type="dxa"/>
            <w:shd w:val="clear" w:color="auto" w:fill="auto"/>
            <w:vAlign w:val="center"/>
          </w:tcPr>
          <w:p w14:paraId="46A6358A" w14:textId="77777777" w:rsidR="00E55F0D" w:rsidRPr="00AF64B9" w:rsidRDefault="00E55F0D" w:rsidP="0015595A">
            <w:pPr>
              <w:spacing w:line="259" w:lineRule="auto"/>
            </w:pPr>
            <w:r>
              <w:t>£6,769,000</w:t>
            </w:r>
          </w:p>
        </w:tc>
      </w:tr>
      <w:tr w:rsidR="00E55F0D" w:rsidRPr="00AF64B9" w14:paraId="5D65F2A6" w14:textId="77777777" w:rsidTr="008E2DA4">
        <w:trPr>
          <w:trHeight w:val="963"/>
        </w:trPr>
        <w:tc>
          <w:tcPr>
            <w:tcW w:w="6374" w:type="dxa"/>
            <w:shd w:val="clear" w:color="auto" w:fill="auto"/>
            <w:vAlign w:val="center"/>
          </w:tcPr>
          <w:p w14:paraId="5918D62F" w14:textId="6149317C" w:rsidR="00E55F0D" w:rsidRPr="00B5204A" w:rsidRDefault="00E55F0D" w:rsidP="0015595A">
            <w:pPr>
              <w:spacing w:line="259" w:lineRule="auto"/>
            </w:pPr>
            <w:r>
              <w:t>Meanwhile Use - Development of affordable commercial workspace on Greenhill Way Car Park.</w:t>
            </w:r>
          </w:p>
        </w:tc>
        <w:tc>
          <w:tcPr>
            <w:tcW w:w="2693" w:type="dxa"/>
            <w:shd w:val="clear" w:color="auto" w:fill="auto"/>
            <w:vAlign w:val="center"/>
          </w:tcPr>
          <w:p w14:paraId="28DDBB44" w14:textId="77777777" w:rsidR="00E55F0D" w:rsidRPr="00AF64B9" w:rsidRDefault="00E55F0D" w:rsidP="0015595A">
            <w:pPr>
              <w:spacing w:line="259" w:lineRule="auto"/>
            </w:pPr>
            <w:r>
              <w:t>£1,022,000</w:t>
            </w:r>
          </w:p>
        </w:tc>
      </w:tr>
      <w:tr w:rsidR="00E55F0D" w:rsidRPr="00AF64B9" w14:paraId="050E903C" w14:textId="77777777" w:rsidTr="008E2DA4">
        <w:trPr>
          <w:trHeight w:val="1140"/>
        </w:trPr>
        <w:tc>
          <w:tcPr>
            <w:tcW w:w="6374" w:type="dxa"/>
            <w:shd w:val="clear" w:color="auto" w:fill="auto"/>
            <w:vAlign w:val="center"/>
          </w:tcPr>
          <w:p w14:paraId="38880C12" w14:textId="5F9E93AF" w:rsidR="00E55F0D" w:rsidRPr="00AF64B9" w:rsidRDefault="00E55F0D" w:rsidP="0015595A">
            <w:pPr>
              <w:spacing w:line="259" w:lineRule="auto"/>
            </w:pPr>
            <w:r>
              <w:t xml:space="preserve">St </w:t>
            </w:r>
            <w:proofErr w:type="spellStart"/>
            <w:r>
              <w:t>Anns</w:t>
            </w:r>
            <w:proofErr w:type="spellEnd"/>
            <w:r>
              <w:t xml:space="preserve"> Road Kiosks - Replacement of existing kiosks with new kiosks</w:t>
            </w:r>
          </w:p>
        </w:tc>
        <w:tc>
          <w:tcPr>
            <w:tcW w:w="2693" w:type="dxa"/>
            <w:shd w:val="clear" w:color="auto" w:fill="auto"/>
            <w:vAlign w:val="center"/>
          </w:tcPr>
          <w:p w14:paraId="5643E0A9" w14:textId="77777777" w:rsidR="00E55F0D" w:rsidRPr="00AF64B9" w:rsidRDefault="00E55F0D" w:rsidP="0015595A">
            <w:pPr>
              <w:spacing w:line="259" w:lineRule="auto"/>
            </w:pPr>
            <w:r>
              <w:t>£491,000</w:t>
            </w:r>
          </w:p>
        </w:tc>
      </w:tr>
      <w:tr w:rsidR="00E55F0D" w:rsidRPr="00AF64B9" w14:paraId="0A2D65E3" w14:textId="77777777" w:rsidTr="008E2DA4">
        <w:trPr>
          <w:trHeight w:val="438"/>
        </w:trPr>
        <w:tc>
          <w:tcPr>
            <w:tcW w:w="6374" w:type="dxa"/>
            <w:shd w:val="clear" w:color="auto" w:fill="auto"/>
            <w:vAlign w:val="center"/>
          </w:tcPr>
          <w:p w14:paraId="1AC0034C" w14:textId="5E59929E" w:rsidR="00E55F0D" w:rsidRPr="00676888" w:rsidRDefault="00E55F0D" w:rsidP="0015595A">
            <w:pPr>
              <w:spacing w:line="259" w:lineRule="auto"/>
              <w:rPr>
                <w:b/>
                <w:bCs/>
              </w:rPr>
            </w:pPr>
            <w:r w:rsidRPr="00676888">
              <w:rPr>
                <w:b/>
                <w:bCs/>
              </w:rPr>
              <w:t>Total Cost</w:t>
            </w:r>
          </w:p>
        </w:tc>
        <w:tc>
          <w:tcPr>
            <w:tcW w:w="2693" w:type="dxa"/>
            <w:vAlign w:val="center"/>
          </w:tcPr>
          <w:p w14:paraId="534B489C" w14:textId="77777777" w:rsidR="00E55F0D" w:rsidRPr="00676888" w:rsidRDefault="00E55F0D" w:rsidP="0015595A">
            <w:pPr>
              <w:spacing w:line="259" w:lineRule="auto"/>
              <w:rPr>
                <w:b/>
                <w:bCs/>
              </w:rPr>
            </w:pPr>
            <w:r w:rsidRPr="00676888">
              <w:rPr>
                <w:b/>
                <w:bCs/>
              </w:rPr>
              <w:t>£8,282,000</w:t>
            </w:r>
          </w:p>
        </w:tc>
      </w:tr>
      <w:tr w:rsidR="00E55F0D" w:rsidRPr="00AF64B9" w14:paraId="68699948" w14:textId="77777777" w:rsidTr="008E2DA4">
        <w:trPr>
          <w:trHeight w:val="418"/>
        </w:trPr>
        <w:tc>
          <w:tcPr>
            <w:tcW w:w="6374" w:type="dxa"/>
            <w:shd w:val="clear" w:color="auto" w:fill="D9D9D9" w:themeFill="background1" w:themeFillShade="D9"/>
            <w:vAlign w:val="center"/>
          </w:tcPr>
          <w:p w14:paraId="0AAA6772" w14:textId="021FB75C" w:rsidR="00E55F0D" w:rsidRPr="00721C4F" w:rsidRDefault="00E55F0D" w:rsidP="0015595A">
            <w:pPr>
              <w:spacing w:line="259" w:lineRule="auto"/>
              <w:rPr>
                <w:b/>
                <w:bCs/>
              </w:rPr>
            </w:pPr>
            <w:r w:rsidRPr="00E55F0D">
              <w:rPr>
                <w:b/>
                <w:bCs/>
              </w:rPr>
              <w:t>Funding Summary</w:t>
            </w:r>
          </w:p>
        </w:tc>
        <w:tc>
          <w:tcPr>
            <w:tcW w:w="2693" w:type="dxa"/>
            <w:shd w:val="clear" w:color="auto" w:fill="D9D9D9" w:themeFill="background1" w:themeFillShade="D9"/>
            <w:vAlign w:val="center"/>
          </w:tcPr>
          <w:p w14:paraId="464F39CF" w14:textId="77777777" w:rsidR="00E55F0D" w:rsidRDefault="00E55F0D" w:rsidP="0015595A">
            <w:pPr>
              <w:spacing w:line="259" w:lineRule="auto"/>
            </w:pPr>
          </w:p>
        </w:tc>
      </w:tr>
      <w:tr w:rsidR="00E55F0D" w:rsidRPr="00AF64B9" w14:paraId="3F00DDFD" w14:textId="77777777" w:rsidTr="008E2DA4">
        <w:trPr>
          <w:trHeight w:val="418"/>
        </w:trPr>
        <w:tc>
          <w:tcPr>
            <w:tcW w:w="6374" w:type="dxa"/>
            <w:shd w:val="clear" w:color="auto" w:fill="auto"/>
            <w:vAlign w:val="center"/>
          </w:tcPr>
          <w:p w14:paraId="362A4C41" w14:textId="5D5C60E2" w:rsidR="00E55F0D" w:rsidRPr="00AF64B9" w:rsidRDefault="00E55F0D" w:rsidP="00E55F0D">
            <w:pPr>
              <w:spacing w:line="259" w:lineRule="auto"/>
            </w:pPr>
            <w:r>
              <w:t>FHSF Funding</w:t>
            </w:r>
          </w:p>
        </w:tc>
        <w:tc>
          <w:tcPr>
            <w:tcW w:w="2693" w:type="dxa"/>
            <w:vAlign w:val="center"/>
          </w:tcPr>
          <w:p w14:paraId="0FBC1F13" w14:textId="77777777" w:rsidR="00E55F0D" w:rsidRPr="00AF64B9" w:rsidRDefault="00E55F0D" w:rsidP="00E55F0D">
            <w:pPr>
              <w:spacing w:line="259" w:lineRule="auto"/>
            </w:pPr>
            <w:r>
              <w:t>£7,147,326</w:t>
            </w:r>
          </w:p>
        </w:tc>
      </w:tr>
      <w:tr w:rsidR="00E55F0D" w:rsidRPr="00AF64B9" w14:paraId="2F492809" w14:textId="77777777" w:rsidTr="008E2DA4">
        <w:trPr>
          <w:trHeight w:val="551"/>
        </w:trPr>
        <w:tc>
          <w:tcPr>
            <w:tcW w:w="6374" w:type="dxa"/>
            <w:shd w:val="clear" w:color="auto" w:fill="auto"/>
            <w:vAlign w:val="center"/>
          </w:tcPr>
          <w:p w14:paraId="1F5114B2" w14:textId="3BFDAF8B" w:rsidR="00E55F0D" w:rsidRPr="00AF64B9" w:rsidRDefault="00E55F0D" w:rsidP="00E55F0D">
            <w:pPr>
              <w:spacing w:line="259" w:lineRule="auto"/>
            </w:pPr>
            <w:r>
              <w:t>Co-funding (Borough CIL)</w:t>
            </w:r>
          </w:p>
        </w:tc>
        <w:tc>
          <w:tcPr>
            <w:tcW w:w="2693" w:type="dxa"/>
            <w:shd w:val="clear" w:color="auto" w:fill="auto"/>
            <w:vAlign w:val="center"/>
          </w:tcPr>
          <w:p w14:paraId="0493A5B8" w14:textId="77777777" w:rsidR="00E55F0D" w:rsidRPr="00AF64B9" w:rsidRDefault="00E55F0D" w:rsidP="00E55F0D">
            <w:pPr>
              <w:spacing w:line="259" w:lineRule="auto"/>
            </w:pPr>
            <w:r>
              <w:t>£1,134,674</w:t>
            </w:r>
          </w:p>
        </w:tc>
      </w:tr>
      <w:tr w:rsidR="008E2DA4" w:rsidRPr="00AF64B9" w14:paraId="3251A740" w14:textId="77777777" w:rsidTr="008E2DA4">
        <w:trPr>
          <w:trHeight w:val="551"/>
        </w:trPr>
        <w:tc>
          <w:tcPr>
            <w:tcW w:w="6374" w:type="dxa"/>
            <w:shd w:val="clear" w:color="auto" w:fill="auto"/>
            <w:vAlign w:val="center"/>
          </w:tcPr>
          <w:p w14:paraId="2406AAC1" w14:textId="72EBBAE0" w:rsidR="008E2DA4" w:rsidRPr="008E2DA4" w:rsidRDefault="008E2DA4" w:rsidP="00E55F0D">
            <w:pPr>
              <w:spacing w:line="259" w:lineRule="auto"/>
              <w:rPr>
                <w:b/>
                <w:bCs/>
              </w:rPr>
            </w:pPr>
            <w:r w:rsidRPr="008E2DA4">
              <w:rPr>
                <w:b/>
                <w:bCs/>
              </w:rPr>
              <w:t>Total Funding</w:t>
            </w:r>
          </w:p>
        </w:tc>
        <w:tc>
          <w:tcPr>
            <w:tcW w:w="2693" w:type="dxa"/>
            <w:shd w:val="clear" w:color="auto" w:fill="auto"/>
            <w:vAlign w:val="center"/>
          </w:tcPr>
          <w:p w14:paraId="2ED16663" w14:textId="3989B4D9" w:rsidR="008E2DA4" w:rsidRDefault="008E2DA4" w:rsidP="00E55F0D">
            <w:pPr>
              <w:spacing w:line="259" w:lineRule="auto"/>
            </w:pPr>
            <w:r w:rsidRPr="00721C4F">
              <w:rPr>
                <w:b/>
                <w:bCs/>
              </w:rPr>
              <w:t>£8,282,000</w:t>
            </w:r>
          </w:p>
        </w:tc>
      </w:tr>
    </w:tbl>
    <w:p w14:paraId="2E33A591" w14:textId="77777777" w:rsidR="00333FAA" w:rsidRPr="00C915D2" w:rsidRDefault="00333FAA" w:rsidP="19908547">
      <w:pPr>
        <w:spacing w:line="259" w:lineRule="auto"/>
      </w:pPr>
    </w:p>
    <w:p w14:paraId="54EB082B" w14:textId="77777777" w:rsidR="00231AD1" w:rsidRDefault="00231AD1" w:rsidP="19908547">
      <w:pPr>
        <w:spacing w:line="259" w:lineRule="auto"/>
        <w:rPr>
          <w:b/>
          <w:bCs/>
          <w:sz w:val="28"/>
          <w:szCs w:val="28"/>
        </w:rPr>
      </w:pPr>
    </w:p>
    <w:p w14:paraId="0E637316" w14:textId="5613E953" w:rsidR="00333FAA" w:rsidRPr="00623A36" w:rsidRDefault="00333FAA" w:rsidP="19908547">
      <w:pPr>
        <w:spacing w:line="259" w:lineRule="auto"/>
        <w:rPr>
          <w:b/>
          <w:bCs/>
          <w:sz w:val="28"/>
          <w:szCs w:val="28"/>
        </w:rPr>
      </w:pPr>
      <w:r w:rsidRPr="00623A36">
        <w:rPr>
          <w:b/>
          <w:bCs/>
          <w:sz w:val="28"/>
          <w:szCs w:val="28"/>
        </w:rPr>
        <w:lastRenderedPageBreak/>
        <w:t>Current situation</w:t>
      </w:r>
    </w:p>
    <w:p w14:paraId="0B5CAC9D" w14:textId="77777777" w:rsidR="00281C78" w:rsidRDefault="00136D6B" w:rsidP="19908547">
      <w:pPr>
        <w:spacing w:line="259" w:lineRule="auto"/>
      </w:pPr>
      <w:r>
        <w:t>Cabinet agreed in J</w:t>
      </w:r>
      <w:r w:rsidR="00B5717C">
        <w:t>a</w:t>
      </w:r>
      <w:r>
        <w:t xml:space="preserve">nuary 2023 </w:t>
      </w:r>
      <w:r w:rsidR="00C419F9">
        <w:t>that the Corporate Director of Place</w:t>
      </w:r>
      <w:r w:rsidR="00310C6E">
        <w:t xml:space="preserve"> </w:t>
      </w:r>
      <w:r w:rsidR="00C419F9">
        <w:t xml:space="preserve">be authorised to agree a Project Adjustment to the </w:t>
      </w:r>
      <w:r w:rsidR="003015EF">
        <w:t xml:space="preserve">Council’s existing FHSF </w:t>
      </w:r>
      <w:r w:rsidR="00C419F9">
        <w:t xml:space="preserve">Grant Agreement with the Department for Levelling Up, Housing and Communities </w:t>
      </w:r>
      <w:r w:rsidR="00D65A53">
        <w:t xml:space="preserve">to deliver a </w:t>
      </w:r>
      <w:r w:rsidR="003015EF">
        <w:t xml:space="preserve">range of </w:t>
      </w:r>
      <w:r w:rsidR="00D65A53">
        <w:t>project</w:t>
      </w:r>
      <w:r w:rsidR="003015EF">
        <w:t>s</w:t>
      </w:r>
      <w:r w:rsidR="00D65A53">
        <w:t xml:space="preserve"> in Harrow Metropolitan Town Centre. </w:t>
      </w:r>
    </w:p>
    <w:p w14:paraId="6585982E" w14:textId="5234BFDA" w:rsidR="001D189F" w:rsidRDefault="00281C78" w:rsidP="19908547">
      <w:pPr>
        <w:spacing w:line="259" w:lineRule="auto"/>
        <w:rPr>
          <w:rFonts w:cs="Arial"/>
        </w:rPr>
      </w:pPr>
      <w:r>
        <w:t xml:space="preserve">A formal Project Adjustment </w:t>
      </w:r>
      <w:r w:rsidR="008A32C3">
        <w:t xml:space="preserve">Form (PAF) </w:t>
      </w:r>
      <w:r>
        <w:t xml:space="preserve">was submitted to DLUHC in February 2023. </w:t>
      </w:r>
      <w:r w:rsidR="001D189F">
        <w:rPr>
          <w:rFonts w:cs="Arial"/>
        </w:rPr>
        <w:t xml:space="preserve">DLUHC confirmed on </w:t>
      </w:r>
      <w:r w:rsidR="006C6D03" w:rsidRPr="00684D1B">
        <w:rPr>
          <w:rFonts w:cs="Arial"/>
        </w:rPr>
        <w:t>26</w:t>
      </w:r>
      <w:r w:rsidR="006C6D03" w:rsidRPr="00684D1B">
        <w:rPr>
          <w:rFonts w:cs="Arial"/>
          <w:vertAlign w:val="superscript"/>
        </w:rPr>
        <w:t>th</w:t>
      </w:r>
      <w:r w:rsidR="006C6D03" w:rsidRPr="00684D1B">
        <w:rPr>
          <w:rFonts w:cs="Arial"/>
        </w:rPr>
        <w:t xml:space="preserve"> </w:t>
      </w:r>
      <w:r w:rsidR="00684D1B" w:rsidRPr="00684D1B">
        <w:rPr>
          <w:rFonts w:cs="Arial"/>
        </w:rPr>
        <w:t>May 2023</w:t>
      </w:r>
      <w:r w:rsidR="001D189F">
        <w:rPr>
          <w:rFonts w:cs="Arial"/>
        </w:rPr>
        <w:t xml:space="preserve"> that the PAF has been </w:t>
      </w:r>
      <w:r w:rsidR="00926CF4">
        <w:rPr>
          <w:rFonts w:cs="Arial"/>
        </w:rPr>
        <w:t>approved</w:t>
      </w:r>
      <w:r w:rsidR="001D189F">
        <w:rPr>
          <w:rFonts w:cs="Arial"/>
        </w:rPr>
        <w:t xml:space="preserve"> and that a new </w:t>
      </w:r>
      <w:r w:rsidR="00926CF4">
        <w:rPr>
          <w:rFonts w:cs="Arial"/>
        </w:rPr>
        <w:t>Memorandum</w:t>
      </w:r>
      <w:r w:rsidR="001D189F">
        <w:rPr>
          <w:rFonts w:cs="Arial"/>
        </w:rPr>
        <w:t xml:space="preserve"> of </w:t>
      </w:r>
      <w:r w:rsidR="00AF6307">
        <w:rPr>
          <w:rFonts w:cs="Arial"/>
        </w:rPr>
        <w:t xml:space="preserve">Understanding will need to be agreed between DLUHC and </w:t>
      </w:r>
      <w:r w:rsidR="124849B8" w:rsidRPr="2323D29C">
        <w:rPr>
          <w:rFonts w:cs="Arial"/>
        </w:rPr>
        <w:t xml:space="preserve">The London Borough of </w:t>
      </w:r>
      <w:r w:rsidR="00AF6307">
        <w:rPr>
          <w:rFonts w:cs="Arial"/>
        </w:rPr>
        <w:t>Harrow</w:t>
      </w:r>
      <w:r w:rsidR="00B52181">
        <w:rPr>
          <w:rFonts w:cs="Arial"/>
        </w:rPr>
        <w:t>.</w:t>
      </w:r>
    </w:p>
    <w:p w14:paraId="0AB281F9" w14:textId="77777777" w:rsidR="00597994" w:rsidRDefault="00597994" w:rsidP="19908547">
      <w:pPr>
        <w:spacing w:line="259" w:lineRule="auto"/>
      </w:pPr>
    </w:p>
    <w:p w14:paraId="555D1469" w14:textId="77777777" w:rsidR="00333FAA" w:rsidRPr="00B53E48" w:rsidRDefault="00333FAA" w:rsidP="19908547">
      <w:pPr>
        <w:spacing w:line="259" w:lineRule="auto"/>
        <w:rPr>
          <w:b/>
          <w:bCs/>
          <w:sz w:val="28"/>
          <w:szCs w:val="28"/>
        </w:rPr>
      </w:pPr>
      <w:r w:rsidRPr="00B53E48">
        <w:rPr>
          <w:b/>
          <w:bCs/>
          <w:sz w:val="28"/>
          <w:szCs w:val="28"/>
        </w:rPr>
        <w:t>Why a change is needed</w:t>
      </w:r>
    </w:p>
    <w:p w14:paraId="6EE4E54C" w14:textId="065BEB01" w:rsidR="00333FAA" w:rsidRPr="00C915D2" w:rsidRDefault="00534327" w:rsidP="19908547">
      <w:pPr>
        <w:spacing w:line="259" w:lineRule="auto"/>
      </w:pPr>
      <w:r>
        <w:t xml:space="preserve">The ability to deliver the grant and maximise funding is dependent on committing full </w:t>
      </w:r>
      <w:r w:rsidR="00DC43E7">
        <w:t xml:space="preserve">FHSF </w:t>
      </w:r>
      <w:r>
        <w:t xml:space="preserve">spend by the end of the 2023/24 financial year. This will involve completing the procurement of contractors, undertaking consultation on designs for public realm improvements and raising purchase orders in this financial year to enable implementation in 2024/25. Cabinet has been asked to approve the recommendations in this report </w:t>
      </w:r>
      <w:r w:rsidR="00271613">
        <w:t>to</w:t>
      </w:r>
      <w:r w:rsidR="000E32DD">
        <w:t xml:space="preserve"> allow the projects to proceed</w:t>
      </w:r>
      <w:r w:rsidR="1DAFFE4E">
        <w:t xml:space="preserve"> </w:t>
      </w:r>
      <w:r w:rsidR="00967908">
        <w:t xml:space="preserve">now that </w:t>
      </w:r>
      <w:r w:rsidR="000E32DD">
        <w:t xml:space="preserve">DLUHC </w:t>
      </w:r>
      <w:r w:rsidR="00967908">
        <w:t xml:space="preserve">has </w:t>
      </w:r>
      <w:r w:rsidR="000E32DD">
        <w:t>approve</w:t>
      </w:r>
      <w:r w:rsidR="00967908">
        <w:t>d</w:t>
      </w:r>
      <w:r w:rsidR="000E32DD">
        <w:t xml:space="preserve"> the revised proposals and therefore </w:t>
      </w:r>
      <w:r w:rsidR="00271613">
        <w:t xml:space="preserve">maximise </w:t>
      </w:r>
      <w:r w:rsidR="00BB4DE1">
        <w:t>investment in Harrow Town Centre</w:t>
      </w:r>
      <w:r w:rsidR="004C7DC4">
        <w:t>.</w:t>
      </w:r>
    </w:p>
    <w:p w14:paraId="1E6611EA" w14:textId="77777777" w:rsidR="001B5FD2" w:rsidRPr="00F06E4E" w:rsidRDefault="001B5FD2" w:rsidP="19908547">
      <w:pPr>
        <w:spacing w:line="259" w:lineRule="auto"/>
      </w:pPr>
    </w:p>
    <w:p w14:paraId="5E3D76B0" w14:textId="77777777" w:rsidR="00333FAA" w:rsidRPr="00B53E48" w:rsidRDefault="00333FAA" w:rsidP="19908547">
      <w:pPr>
        <w:spacing w:line="259" w:lineRule="auto"/>
        <w:rPr>
          <w:b/>
          <w:bCs/>
          <w:sz w:val="28"/>
          <w:szCs w:val="28"/>
        </w:rPr>
      </w:pPr>
      <w:r w:rsidRPr="00B53E48">
        <w:rPr>
          <w:b/>
          <w:bCs/>
          <w:sz w:val="28"/>
          <w:szCs w:val="28"/>
        </w:rPr>
        <w:t>Implications of the Recommendation</w:t>
      </w:r>
    </w:p>
    <w:p w14:paraId="76FF354C" w14:textId="5C35B64A" w:rsidR="00333FAA" w:rsidRPr="00403153" w:rsidRDefault="00333FAA" w:rsidP="19908547">
      <w:pPr>
        <w:spacing w:line="259" w:lineRule="auto"/>
        <w:rPr>
          <w:b/>
          <w:bCs/>
        </w:rPr>
      </w:pPr>
      <w:r w:rsidRPr="00403153">
        <w:rPr>
          <w:b/>
          <w:bCs/>
        </w:rPr>
        <w:t>Considerations</w:t>
      </w:r>
    </w:p>
    <w:p w14:paraId="5A1E6FA6" w14:textId="3E39B5EA" w:rsidR="001B6BA4" w:rsidRDefault="007E505F" w:rsidP="00E70AE0">
      <w:pPr>
        <w:spacing w:line="259" w:lineRule="auto"/>
      </w:pPr>
      <w:r>
        <w:t xml:space="preserve">The revised project enables the council to deliver it’s amended objectives. </w:t>
      </w:r>
      <w:r w:rsidR="003C4B57">
        <w:t xml:space="preserve">By </w:t>
      </w:r>
      <w:proofErr w:type="gramStart"/>
      <w:r w:rsidR="003C4B57">
        <w:t>enter</w:t>
      </w:r>
      <w:r w:rsidR="00E56988">
        <w:t>ing</w:t>
      </w:r>
      <w:r w:rsidR="003C4B57">
        <w:t xml:space="preserve"> into</w:t>
      </w:r>
      <w:proofErr w:type="gramEnd"/>
      <w:r w:rsidR="003C4B57">
        <w:t xml:space="preserve"> </w:t>
      </w:r>
      <w:r w:rsidR="00323B18">
        <w:t xml:space="preserve">a new </w:t>
      </w:r>
      <w:r w:rsidR="003C4B57">
        <w:t>Memorandum of Understanding (MoU) with DLUHC, the Council is bound by the terms of the agreement. Th</w:t>
      </w:r>
      <w:r w:rsidR="00A45FE8">
        <w:t xml:space="preserve">e MoU </w:t>
      </w:r>
      <w:r w:rsidR="00E70AE0">
        <w:t xml:space="preserve">requires </w:t>
      </w:r>
      <w:r w:rsidR="00ED15A8">
        <w:t>that</w:t>
      </w:r>
      <w:r w:rsidR="00E70AE0">
        <w:t xml:space="preserve"> </w:t>
      </w:r>
      <w:r w:rsidR="00EF4BF8">
        <w:t xml:space="preserve">DLUHC’s </w:t>
      </w:r>
      <w:r w:rsidR="003C4B57">
        <w:t>F</w:t>
      </w:r>
      <w:r w:rsidR="00EF4BF8">
        <w:t>uture High Streets</w:t>
      </w:r>
      <w:r w:rsidR="003C4B57">
        <w:t xml:space="preserve"> funding needs to be committed by the end of the financial year 2023/24. </w:t>
      </w:r>
    </w:p>
    <w:p w14:paraId="30787D14" w14:textId="34263EE1" w:rsidR="003C4B57" w:rsidRDefault="003C4B57" w:rsidP="007B2A25">
      <w:pPr>
        <w:spacing w:line="259" w:lineRule="auto"/>
      </w:pPr>
      <w:r>
        <w:t>It should be noted that the delivery of the project can continue after this date</w:t>
      </w:r>
      <w:r w:rsidR="004C7D46">
        <w:t xml:space="preserve">, with </w:t>
      </w:r>
      <w:r w:rsidR="0024768D">
        <w:t xml:space="preserve">Borough CIL </w:t>
      </w:r>
      <w:r w:rsidR="00A317B3">
        <w:t>co-funding</w:t>
      </w:r>
      <w:r>
        <w:t>.</w:t>
      </w:r>
    </w:p>
    <w:p w14:paraId="07D8E952" w14:textId="77777777" w:rsidR="0005104F" w:rsidRDefault="0005104F" w:rsidP="19908547">
      <w:pPr>
        <w:spacing w:line="259" w:lineRule="auto"/>
        <w:rPr>
          <w:b/>
          <w:bCs/>
        </w:rPr>
      </w:pPr>
    </w:p>
    <w:p w14:paraId="71841C0A" w14:textId="5055D4FE" w:rsidR="00333FAA" w:rsidRPr="004C5538" w:rsidRDefault="00333FAA" w:rsidP="19908547">
      <w:pPr>
        <w:spacing w:line="259" w:lineRule="auto"/>
        <w:rPr>
          <w:b/>
          <w:bCs/>
        </w:rPr>
      </w:pPr>
      <w:r w:rsidRPr="004C5538">
        <w:rPr>
          <w:b/>
          <w:bCs/>
        </w:rPr>
        <w:t>Resources, costs</w:t>
      </w:r>
    </w:p>
    <w:p w14:paraId="734F8D07" w14:textId="1A6E7CE5" w:rsidR="00614948" w:rsidRDefault="007958E2" w:rsidP="19908547">
      <w:pPr>
        <w:spacing w:line="259" w:lineRule="auto"/>
        <w:rPr>
          <w:lang w:val="en-US"/>
        </w:rPr>
      </w:pPr>
      <w:r>
        <w:t>T</w:t>
      </w:r>
      <w:r w:rsidR="005201EF">
        <w:t>able</w:t>
      </w:r>
      <w:r>
        <w:t xml:space="preserve"> 1 </w:t>
      </w:r>
      <w:r w:rsidR="00AC6D47">
        <w:t>summarises</w:t>
      </w:r>
      <w:r w:rsidR="005201EF">
        <w:t xml:space="preserve"> the</w:t>
      </w:r>
      <w:r w:rsidR="00AC6D47">
        <w:t xml:space="preserve"> projects and related</w:t>
      </w:r>
      <w:r w:rsidR="005201EF">
        <w:t xml:space="preserve"> costs </w:t>
      </w:r>
      <w:r w:rsidR="00AC6D47">
        <w:t xml:space="preserve">that are to be funded through the FHSF </w:t>
      </w:r>
      <w:r w:rsidR="005201EF">
        <w:t>and the</w:t>
      </w:r>
      <w:r w:rsidR="00AC6D47">
        <w:t xml:space="preserve"> Borough CIL co-funding.</w:t>
      </w:r>
      <w:r w:rsidR="00DD7FDE">
        <w:t xml:space="preserve"> </w:t>
      </w:r>
      <w:r w:rsidR="007A073D" w:rsidRPr="19908547">
        <w:rPr>
          <w:lang w:val="en-US"/>
        </w:rPr>
        <w:t>The projects have been developed by council officers</w:t>
      </w:r>
      <w:r w:rsidR="002E09D3" w:rsidRPr="19908547">
        <w:rPr>
          <w:lang w:val="en-US"/>
        </w:rPr>
        <w:t xml:space="preserve">, </w:t>
      </w:r>
      <w:proofErr w:type="gramStart"/>
      <w:r w:rsidR="002E09D3" w:rsidRPr="19908547">
        <w:rPr>
          <w:lang w:val="en-US"/>
        </w:rPr>
        <w:t>taking into account</w:t>
      </w:r>
      <w:proofErr w:type="gramEnd"/>
      <w:r w:rsidR="002E09D3" w:rsidRPr="19908547">
        <w:rPr>
          <w:lang w:val="en-US"/>
        </w:rPr>
        <w:t xml:space="preserve"> t</w:t>
      </w:r>
      <w:r w:rsidR="007A073D" w:rsidRPr="19908547">
        <w:rPr>
          <w:lang w:val="en-US"/>
        </w:rPr>
        <w:t>he timescales and funding requirements of the FHSF. The delivery of the projects has been designed to ensure that FHSF is spent first, and that further costs related to project delivery will be funded by the identified co-funding</w:t>
      </w:r>
      <w:r w:rsidR="00A233CE">
        <w:rPr>
          <w:lang w:val="en-US"/>
        </w:rPr>
        <w:t>.</w:t>
      </w:r>
    </w:p>
    <w:p w14:paraId="1ABC7E51" w14:textId="77777777" w:rsidR="005201EF" w:rsidRDefault="005201EF" w:rsidP="19908547">
      <w:pPr>
        <w:spacing w:line="259" w:lineRule="auto"/>
      </w:pPr>
    </w:p>
    <w:p w14:paraId="211340B3" w14:textId="77777777" w:rsidR="00333FAA" w:rsidRPr="00C81270" w:rsidRDefault="00333FAA" w:rsidP="19908547">
      <w:pPr>
        <w:spacing w:line="259" w:lineRule="auto"/>
        <w:rPr>
          <w:b/>
          <w:bCs/>
        </w:rPr>
      </w:pPr>
      <w:r w:rsidRPr="00C81270">
        <w:rPr>
          <w:b/>
          <w:bCs/>
        </w:rPr>
        <w:t xml:space="preserve">Staffing/workforce </w:t>
      </w:r>
    </w:p>
    <w:p w14:paraId="2344415D" w14:textId="70E230D0" w:rsidR="002327D5" w:rsidRDefault="002327D5" w:rsidP="19908547">
      <w:pPr>
        <w:spacing w:line="259" w:lineRule="auto"/>
      </w:pPr>
      <w:r>
        <w:t xml:space="preserve">A Programme Manager </w:t>
      </w:r>
      <w:r w:rsidR="009B6688">
        <w:t xml:space="preserve">is </w:t>
      </w:r>
      <w:r>
        <w:t xml:space="preserve">funded </w:t>
      </w:r>
      <w:r w:rsidR="005201EF">
        <w:t xml:space="preserve">by the </w:t>
      </w:r>
      <w:r>
        <w:t>FHSF to oversee the programme and ensure that the projects and the monitoring and reports that are required by DLUHC are compiled and submitted within the timescales agreed in the MoU</w:t>
      </w:r>
      <w:r w:rsidR="000F37F0">
        <w:t xml:space="preserve">. </w:t>
      </w:r>
    </w:p>
    <w:p w14:paraId="1C4AC98C" w14:textId="77777777" w:rsidR="002B5AB2" w:rsidRDefault="002B5AB2" w:rsidP="19908547">
      <w:pPr>
        <w:spacing w:line="259" w:lineRule="auto"/>
      </w:pPr>
    </w:p>
    <w:p w14:paraId="7AA5D530" w14:textId="163221E3" w:rsidR="00307F76" w:rsidRPr="00C81270" w:rsidRDefault="00307F76" w:rsidP="19908547">
      <w:pPr>
        <w:spacing w:line="259" w:lineRule="auto"/>
        <w:rPr>
          <w:b/>
          <w:bCs/>
        </w:rPr>
      </w:pPr>
      <w:r w:rsidRPr="00C81270">
        <w:rPr>
          <w:b/>
          <w:bCs/>
        </w:rPr>
        <w:t xml:space="preserve">Ward Councillors’ comments </w:t>
      </w:r>
    </w:p>
    <w:p w14:paraId="6D40ADFF" w14:textId="3840F193" w:rsidR="0051695D" w:rsidRDefault="00B85828" w:rsidP="19908547">
      <w:pPr>
        <w:spacing w:line="259" w:lineRule="auto"/>
      </w:pPr>
      <w:r>
        <w:t xml:space="preserve">Ward </w:t>
      </w:r>
      <w:r w:rsidR="00AD35BD">
        <w:t>councillors</w:t>
      </w:r>
      <w:r>
        <w:t xml:space="preserve"> were consulted in </w:t>
      </w:r>
      <w:r w:rsidR="00AD35BD">
        <w:t>January</w:t>
      </w:r>
      <w:r>
        <w:t xml:space="preserve"> 2023</w:t>
      </w:r>
      <w:r w:rsidR="00EA13C9">
        <w:t xml:space="preserve"> in developing the proposals</w:t>
      </w:r>
      <w:r w:rsidR="00CC11A2">
        <w:t xml:space="preserve"> for Harrow Town Centre</w:t>
      </w:r>
      <w:r w:rsidR="008B509F">
        <w:t xml:space="preserve">. </w:t>
      </w:r>
      <w:r w:rsidR="0051695D">
        <w:t xml:space="preserve">Ward councillors will be consulted further when </w:t>
      </w:r>
      <w:r w:rsidR="00694089">
        <w:lastRenderedPageBreak/>
        <w:t xml:space="preserve">DLUHC funding is confirmed and </w:t>
      </w:r>
      <w:r w:rsidR="0051695D">
        <w:t xml:space="preserve">more detailed designs for the </w:t>
      </w:r>
      <w:r w:rsidR="00A36455">
        <w:t>projects have been developed.</w:t>
      </w:r>
    </w:p>
    <w:p w14:paraId="734B8BD5" w14:textId="77777777" w:rsidR="00A36455" w:rsidRPr="00307F76" w:rsidRDefault="00A36455" w:rsidP="19908547">
      <w:pPr>
        <w:spacing w:line="259" w:lineRule="auto"/>
      </w:pPr>
    </w:p>
    <w:p w14:paraId="12B2B7E2" w14:textId="77777777" w:rsidR="00333FAA" w:rsidRPr="00C81270" w:rsidRDefault="00333FAA" w:rsidP="19908547">
      <w:pPr>
        <w:tabs>
          <w:tab w:val="left" w:pos="3600"/>
        </w:tabs>
        <w:spacing w:line="259" w:lineRule="auto"/>
        <w:rPr>
          <w:b/>
          <w:bCs/>
        </w:rPr>
      </w:pPr>
      <w:r w:rsidRPr="00C81270">
        <w:rPr>
          <w:b/>
          <w:bCs/>
        </w:rPr>
        <w:t>Performance Issues</w:t>
      </w:r>
    </w:p>
    <w:p w14:paraId="06C7B823" w14:textId="5637FCE1" w:rsidR="00ED7E8A" w:rsidRDefault="00ED7E8A" w:rsidP="19908547">
      <w:pPr>
        <w:tabs>
          <w:tab w:val="left" w:pos="7245"/>
        </w:tabs>
        <w:spacing w:line="259" w:lineRule="auto"/>
      </w:pPr>
      <w:r>
        <w:t xml:space="preserve">The proposals to deliver a range of capital </w:t>
      </w:r>
      <w:r w:rsidR="005B395C">
        <w:t>projects in Harrow Town Centre supports the Council’s Corporate Priority of “A Borough that is Clean and Safe” in that it provides funding for the council to deliver projects to improve Harrow Town Centre</w:t>
      </w:r>
      <w:r w:rsidR="003128DA">
        <w:t xml:space="preserve"> </w:t>
      </w:r>
      <w:r w:rsidR="005B395C">
        <w:t xml:space="preserve">and support the delivery of the new public realm and </w:t>
      </w:r>
      <w:r w:rsidR="00674AE2">
        <w:t xml:space="preserve">new </w:t>
      </w:r>
      <w:r w:rsidR="005B395C">
        <w:t>workspace</w:t>
      </w:r>
      <w:r w:rsidR="007E58B2">
        <w:t xml:space="preserve"> measures</w:t>
      </w:r>
      <w:r w:rsidR="005B395C">
        <w:t xml:space="preserve"> that are identified under the “Protecting the character of Harrow” action in the Corporate Plan.</w:t>
      </w:r>
    </w:p>
    <w:p w14:paraId="18D34242" w14:textId="77777777" w:rsidR="00EC43BF" w:rsidRDefault="00EC43BF" w:rsidP="19908547">
      <w:pPr>
        <w:tabs>
          <w:tab w:val="left" w:pos="7245"/>
        </w:tabs>
        <w:spacing w:line="259" w:lineRule="auto"/>
      </w:pPr>
    </w:p>
    <w:p w14:paraId="5E591A63" w14:textId="028BE846" w:rsidR="005C569A" w:rsidRDefault="00D1331C" w:rsidP="19908547">
      <w:pPr>
        <w:tabs>
          <w:tab w:val="left" w:pos="7245"/>
        </w:tabs>
        <w:spacing w:line="259" w:lineRule="auto"/>
      </w:pPr>
      <w:r>
        <w:t xml:space="preserve">The Council was required to submit a range of “indicators” as part of the Project Adjustment Form. </w:t>
      </w:r>
    </w:p>
    <w:p w14:paraId="515BF147" w14:textId="3003BFF5" w:rsidR="00C63321" w:rsidRDefault="005C569A" w:rsidP="19908547">
      <w:pPr>
        <w:tabs>
          <w:tab w:val="left" w:pos="7245"/>
        </w:tabs>
        <w:spacing w:line="259" w:lineRule="auto"/>
      </w:pPr>
      <w:r>
        <w:t xml:space="preserve">The key indicators are </w:t>
      </w:r>
      <w:r w:rsidR="00C63321">
        <w:t>summarised</w:t>
      </w:r>
      <w:r>
        <w:t xml:space="preserve"> below</w:t>
      </w:r>
      <w:r w:rsidR="0051163A">
        <w:t xml:space="preserve">. The complete </w:t>
      </w:r>
      <w:r w:rsidR="00642F7A">
        <w:t xml:space="preserve">set of documents submitted to DLUHC are </w:t>
      </w:r>
      <w:r w:rsidR="00635C26">
        <w:t>available</w:t>
      </w:r>
      <w:r w:rsidR="00642F7A">
        <w:t xml:space="preserve"> as supporting</w:t>
      </w:r>
      <w:r w:rsidR="00635C26">
        <w:t xml:space="preserve"> </w:t>
      </w:r>
      <w:r w:rsidR="00642F7A">
        <w:t>documents to the report.</w:t>
      </w:r>
    </w:p>
    <w:p w14:paraId="7964C332" w14:textId="77777777" w:rsidR="00B013EC" w:rsidRDefault="00B013EC" w:rsidP="19908547">
      <w:pPr>
        <w:tabs>
          <w:tab w:val="left" w:pos="7245"/>
        </w:tabs>
        <w:spacing w:line="259" w:lineRule="auto"/>
      </w:pPr>
    </w:p>
    <w:p w14:paraId="7E935A1C" w14:textId="34A1774F" w:rsidR="00B013EC" w:rsidRPr="00635C26" w:rsidRDefault="00635C26" w:rsidP="19908547">
      <w:pPr>
        <w:tabs>
          <w:tab w:val="left" w:pos="7245"/>
        </w:tabs>
        <w:spacing w:line="259" w:lineRule="auto"/>
        <w:rPr>
          <w:b/>
          <w:bCs/>
        </w:rPr>
      </w:pPr>
      <w:r w:rsidRPr="00635C26">
        <w:rPr>
          <w:b/>
          <w:bCs/>
        </w:rPr>
        <w:t>Table 2: Future High Street Fund Project Adjustment – Key Indicators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gridCol w:w="1315"/>
      </w:tblGrid>
      <w:tr w:rsidR="00E92157" w:rsidRPr="005C569A" w14:paraId="5456C9E2" w14:textId="77777777" w:rsidTr="00C03B65">
        <w:trPr>
          <w:trHeight w:val="285"/>
        </w:trPr>
        <w:tc>
          <w:tcPr>
            <w:tcW w:w="7185" w:type="dxa"/>
            <w:shd w:val="clear" w:color="auto" w:fill="BFBFBF" w:themeFill="background1" w:themeFillShade="BF"/>
            <w:vAlign w:val="center"/>
          </w:tcPr>
          <w:p w14:paraId="25B83604" w14:textId="309BD8F7" w:rsidR="00E92157" w:rsidRPr="00E92157" w:rsidRDefault="00E92157" w:rsidP="005C569A">
            <w:pPr>
              <w:rPr>
                <w:rFonts w:cs="Arial"/>
                <w:b/>
                <w:bCs/>
                <w:color w:val="000000"/>
                <w:szCs w:val="24"/>
                <w:lang w:eastAsia="en-GB"/>
              </w:rPr>
            </w:pPr>
            <w:r>
              <w:rPr>
                <w:rFonts w:cs="Arial"/>
                <w:b/>
                <w:bCs/>
                <w:color w:val="000000"/>
                <w:szCs w:val="24"/>
                <w:lang w:eastAsia="en-GB"/>
              </w:rPr>
              <w:t>Project Name &amp; FHSF Indicator</w:t>
            </w:r>
          </w:p>
        </w:tc>
        <w:tc>
          <w:tcPr>
            <w:tcW w:w="1315" w:type="dxa"/>
            <w:shd w:val="clear" w:color="auto" w:fill="BFBFBF" w:themeFill="background1" w:themeFillShade="BF"/>
            <w:vAlign w:val="center"/>
          </w:tcPr>
          <w:p w14:paraId="26FD0934" w14:textId="419F81CD" w:rsidR="00E92157" w:rsidRPr="00E92157" w:rsidRDefault="00E92157" w:rsidP="005C569A">
            <w:pPr>
              <w:jc w:val="right"/>
              <w:rPr>
                <w:rFonts w:cs="Arial"/>
                <w:b/>
                <w:bCs/>
                <w:color w:val="000000"/>
                <w:szCs w:val="24"/>
                <w:lang w:eastAsia="en-GB"/>
              </w:rPr>
            </w:pPr>
            <w:r w:rsidRPr="00E92157">
              <w:rPr>
                <w:rFonts w:cs="Arial"/>
                <w:b/>
                <w:bCs/>
                <w:color w:val="000000"/>
                <w:szCs w:val="24"/>
                <w:lang w:eastAsia="en-GB"/>
              </w:rPr>
              <w:t>Amount</w:t>
            </w:r>
          </w:p>
        </w:tc>
      </w:tr>
      <w:tr w:rsidR="00B013EC" w:rsidRPr="005C569A" w14:paraId="5EC299DC" w14:textId="77777777" w:rsidTr="00E92157">
        <w:trPr>
          <w:trHeight w:val="285"/>
        </w:trPr>
        <w:tc>
          <w:tcPr>
            <w:tcW w:w="7185" w:type="dxa"/>
            <w:shd w:val="clear" w:color="auto" w:fill="D9D9D9" w:themeFill="background1" w:themeFillShade="D9"/>
            <w:vAlign w:val="center"/>
          </w:tcPr>
          <w:p w14:paraId="0968BFD7" w14:textId="6D518677" w:rsidR="00B013EC" w:rsidRPr="00AA7FC6" w:rsidRDefault="00AA7FC6" w:rsidP="005C569A">
            <w:pPr>
              <w:rPr>
                <w:rFonts w:cs="Arial"/>
                <w:b/>
                <w:bCs/>
                <w:color w:val="000000"/>
                <w:szCs w:val="24"/>
                <w:lang w:eastAsia="en-GB"/>
              </w:rPr>
            </w:pPr>
            <w:r w:rsidRPr="00AA7FC6">
              <w:rPr>
                <w:rFonts w:cs="Arial"/>
                <w:b/>
                <w:bCs/>
                <w:color w:val="000000"/>
                <w:szCs w:val="24"/>
                <w:lang w:eastAsia="en-GB"/>
              </w:rPr>
              <w:t>Public Realm</w:t>
            </w:r>
          </w:p>
        </w:tc>
        <w:tc>
          <w:tcPr>
            <w:tcW w:w="1315" w:type="dxa"/>
            <w:shd w:val="clear" w:color="auto" w:fill="D9D9D9" w:themeFill="background1" w:themeFillShade="D9"/>
            <w:vAlign w:val="center"/>
          </w:tcPr>
          <w:p w14:paraId="12944FB5" w14:textId="77777777" w:rsidR="00B013EC" w:rsidRPr="00AA7FC6" w:rsidRDefault="00B013EC" w:rsidP="005C569A">
            <w:pPr>
              <w:jc w:val="right"/>
              <w:rPr>
                <w:rFonts w:cs="Arial"/>
                <w:color w:val="000000"/>
                <w:szCs w:val="24"/>
                <w:lang w:eastAsia="en-GB"/>
              </w:rPr>
            </w:pPr>
          </w:p>
        </w:tc>
      </w:tr>
      <w:tr w:rsidR="005C569A" w:rsidRPr="005C569A" w14:paraId="6C6E2632" w14:textId="77777777" w:rsidTr="00E92157">
        <w:trPr>
          <w:trHeight w:val="285"/>
        </w:trPr>
        <w:tc>
          <w:tcPr>
            <w:tcW w:w="7185" w:type="dxa"/>
            <w:shd w:val="clear" w:color="auto" w:fill="auto"/>
            <w:vAlign w:val="center"/>
            <w:hideMark/>
          </w:tcPr>
          <w:p w14:paraId="78373E6F" w14:textId="46634D82" w:rsidR="005C569A" w:rsidRPr="005C569A" w:rsidRDefault="005C569A" w:rsidP="005C569A">
            <w:pPr>
              <w:rPr>
                <w:rFonts w:cs="Arial"/>
                <w:color w:val="000000"/>
                <w:szCs w:val="24"/>
                <w:lang w:eastAsia="en-GB"/>
              </w:rPr>
            </w:pPr>
            <w:r w:rsidRPr="005C569A">
              <w:rPr>
                <w:rFonts w:cs="Arial"/>
                <w:color w:val="000000"/>
                <w:szCs w:val="24"/>
                <w:lang w:eastAsia="en-GB"/>
              </w:rPr>
              <w:t>Amount of Public Realm Improved</w:t>
            </w:r>
            <w:r w:rsidR="00AA7FC6">
              <w:rPr>
                <w:rFonts w:cs="Arial"/>
                <w:color w:val="000000"/>
                <w:szCs w:val="24"/>
                <w:lang w:eastAsia="en-GB"/>
              </w:rPr>
              <w:t xml:space="preserve"> </w:t>
            </w:r>
            <w:r w:rsidR="00AA7FC6" w:rsidRPr="00AA7FC6">
              <w:rPr>
                <w:rFonts w:cs="Arial"/>
                <w:color w:val="000000"/>
                <w:szCs w:val="24"/>
                <w:lang w:eastAsia="en-GB"/>
              </w:rPr>
              <w:t>(square metres)</w:t>
            </w:r>
          </w:p>
        </w:tc>
        <w:tc>
          <w:tcPr>
            <w:tcW w:w="1315" w:type="dxa"/>
            <w:shd w:val="clear" w:color="auto" w:fill="auto"/>
            <w:vAlign w:val="center"/>
            <w:hideMark/>
          </w:tcPr>
          <w:p w14:paraId="3599E836" w14:textId="77777777" w:rsidR="005C569A" w:rsidRPr="005C569A" w:rsidRDefault="005C569A" w:rsidP="005C569A">
            <w:pPr>
              <w:jc w:val="right"/>
              <w:rPr>
                <w:rFonts w:cs="Arial"/>
                <w:color w:val="000000"/>
                <w:szCs w:val="24"/>
                <w:lang w:eastAsia="en-GB"/>
              </w:rPr>
            </w:pPr>
            <w:r w:rsidRPr="005C569A">
              <w:rPr>
                <w:rFonts w:cs="Arial"/>
                <w:color w:val="000000"/>
                <w:szCs w:val="24"/>
                <w:lang w:eastAsia="en-GB"/>
              </w:rPr>
              <w:t>16497</w:t>
            </w:r>
          </w:p>
        </w:tc>
      </w:tr>
      <w:tr w:rsidR="005C569A" w:rsidRPr="005C569A" w14:paraId="48C23791" w14:textId="77777777" w:rsidTr="00E92157">
        <w:trPr>
          <w:trHeight w:val="285"/>
        </w:trPr>
        <w:tc>
          <w:tcPr>
            <w:tcW w:w="7185" w:type="dxa"/>
            <w:shd w:val="clear" w:color="auto" w:fill="auto"/>
            <w:vAlign w:val="center"/>
            <w:hideMark/>
          </w:tcPr>
          <w:p w14:paraId="58BC5069" w14:textId="5F6324CE" w:rsidR="005C569A" w:rsidRPr="005C569A" w:rsidRDefault="005C569A" w:rsidP="005C569A">
            <w:pPr>
              <w:rPr>
                <w:rFonts w:cs="Arial"/>
                <w:color w:val="000000"/>
                <w:szCs w:val="24"/>
                <w:lang w:eastAsia="en-GB"/>
              </w:rPr>
            </w:pPr>
            <w:r w:rsidRPr="005C569A">
              <w:rPr>
                <w:rFonts w:cs="Arial"/>
                <w:color w:val="000000"/>
                <w:szCs w:val="24"/>
                <w:lang w:eastAsia="en-GB"/>
              </w:rPr>
              <w:t>Total length of resurfaced/improved road</w:t>
            </w:r>
            <w:r w:rsidR="00AA7FC6">
              <w:rPr>
                <w:rFonts w:cs="Arial"/>
                <w:color w:val="000000"/>
                <w:szCs w:val="24"/>
                <w:lang w:eastAsia="en-GB"/>
              </w:rPr>
              <w:t xml:space="preserve"> (km)</w:t>
            </w:r>
          </w:p>
        </w:tc>
        <w:tc>
          <w:tcPr>
            <w:tcW w:w="1315" w:type="dxa"/>
            <w:shd w:val="clear" w:color="auto" w:fill="auto"/>
            <w:vAlign w:val="center"/>
            <w:hideMark/>
          </w:tcPr>
          <w:p w14:paraId="275D7E47" w14:textId="77777777" w:rsidR="005C569A" w:rsidRPr="005C569A" w:rsidRDefault="005C569A" w:rsidP="005C569A">
            <w:pPr>
              <w:jc w:val="right"/>
              <w:rPr>
                <w:rFonts w:cs="Arial"/>
                <w:color w:val="000000"/>
                <w:szCs w:val="24"/>
                <w:lang w:eastAsia="en-GB"/>
              </w:rPr>
            </w:pPr>
            <w:r w:rsidRPr="005C569A">
              <w:rPr>
                <w:rFonts w:cs="Arial"/>
                <w:color w:val="000000"/>
                <w:szCs w:val="24"/>
                <w:lang w:eastAsia="en-GB"/>
              </w:rPr>
              <w:t>0.9</w:t>
            </w:r>
          </w:p>
        </w:tc>
      </w:tr>
      <w:tr w:rsidR="005C569A" w:rsidRPr="005C569A" w14:paraId="74AB760B" w14:textId="77777777" w:rsidTr="00E92157">
        <w:trPr>
          <w:trHeight w:val="285"/>
        </w:trPr>
        <w:tc>
          <w:tcPr>
            <w:tcW w:w="7185" w:type="dxa"/>
            <w:shd w:val="clear" w:color="auto" w:fill="auto"/>
            <w:noWrap/>
            <w:vAlign w:val="bottom"/>
            <w:hideMark/>
          </w:tcPr>
          <w:p w14:paraId="5DDAA458" w14:textId="1FE45D5A" w:rsidR="005C569A" w:rsidRPr="005C569A" w:rsidRDefault="005C569A" w:rsidP="005C569A">
            <w:pPr>
              <w:rPr>
                <w:rFonts w:cs="Arial"/>
                <w:color w:val="000000"/>
                <w:szCs w:val="24"/>
                <w:lang w:eastAsia="en-GB"/>
              </w:rPr>
            </w:pPr>
            <w:r w:rsidRPr="005C569A">
              <w:rPr>
                <w:rFonts w:cs="Arial"/>
                <w:color w:val="000000"/>
                <w:szCs w:val="24"/>
                <w:lang w:eastAsia="en-GB"/>
              </w:rPr>
              <w:t>Total length of roads converted to cycling or pedestrian ways</w:t>
            </w:r>
            <w:r w:rsidR="00AA7FC6">
              <w:rPr>
                <w:rFonts w:cs="Arial"/>
                <w:color w:val="000000"/>
                <w:szCs w:val="24"/>
                <w:lang w:eastAsia="en-GB"/>
              </w:rPr>
              <w:t xml:space="preserve"> </w:t>
            </w:r>
            <w:r w:rsidR="00132B92">
              <w:rPr>
                <w:rFonts w:cs="Arial"/>
                <w:color w:val="000000"/>
                <w:szCs w:val="24"/>
                <w:lang w:eastAsia="en-GB"/>
              </w:rPr>
              <w:t>(km)</w:t>
            </w:r>
          </w:p>
        </w:tc>
        <w:tc>
          <w:tcPr>
            <w:tcW w:w="1315" w:type="dxa"/>
            <w:shd w:val="clear" w:color="auto" w:fill="auto"/>
            <w:vAlign w:val="center"/>
            <w:hideMark/>
          </w:tcPr>
          <w:p w14:paraId="7A3C418B" w14:textId="77777777" w:rsidR="005C569A" w:rsidRPr="005C569A" w:rsidRDefault="005C569A" w:rsidP="005C569A">
            <w:pPr>
              <w:jc w:val="right"/>
              <w:rPr>
                <w:rFonts w:cs="Arial"/>
                <w:color w:val="000000"/>
                <w:szCs w:val="24"/>
                <w:lang w:eastAsia="en-GB"/>
              </w:rPr>
            </w:pPr>
            <w:r w:rsidRPr="005C569A">
              <w:rPr>
                <w:rFonts w:cs="Arial"/>
                <w:color w:val="000000"/>
                <w:szCs w:val="24"/>
                <w:lang w:eastAsia="en-GB"/>
              </w:rPr>
              <w:t>1.6</w:t>
            </w:r>
          </w:p>
        </w:tc>
      </w:tr>
      <w:tr w:rsidR="005C569A" w:rsidRPr="005C569A" w14:paraId="619C65C1" w14:textId="77777777" w:rsidTr="00E92157">
        <w:trPr>
          <w:trHeight w:val="285"/>
        </w:trPr>
        <w:tc>
          <w:tcPr>
            <w:tcW w:w="7185" w:type="dxa"/>
            <w:shd w:val="clear" w:color="auto" w:fill="auto"/>
            <w:noWrap/>
            <w:vAlign w:val="bottom"/>
            <w:hideMark/>
          </w:tcPr>
          <w:p w14:paraId="70DC6A45" w14:textId="29442696" w:rsidR="005C569A" w:rsidRPr="005C569A" w:rsidRDefault="005C569A" w:rsidP="005C569A">
            <w:pPr>
              <w:rPr>
                <w:rFonts w:cs="Arial"/>
                <w:color w:val="000000"/>
                <w:szCs w:val="24"/>
                <w:lang w:eastAsia="en-GB"/>
              </w:rPr>
            </w:pPr>
            <w:r w:rsidRPr="005C569A">
              <w:rPr>
                <w:rFonts w:cs="Arial"/>
                <w:color w:val="000000"/>
                <w:szCs w:val="24"/>
                <w:lang w:eastAsia="en-GB"/>
              </w:rPr>
              <w:t>Total length of new pedestrian paths</w:t>
            </w:r>
            <w:r w:rsidR="00132B92">
              <w:rPr>
                <w:rFonts w:cs="Arial"/>
                <w:color w:val="000000"/>
                <w:szCs w:val="24"/>
                <w:lang w:eastAsia="en-GB"/>
              </w:rPr>
              <w:t xml:space="preserve"> (km)</w:t>
            </w:r>
          </w:p>
        </w:tc>
        <w:tc>
          <w:tcPr>
            <w:tcW w:w="1315" w:type="dxa"/>
            <w:shd w:val="clear" w:color="auto" w:fill="auto"/>
            <w:vAlign w:val="center"/>
            <w:hideMark/>
          </w:tcPr>
          <w:p w14:paraId="24F18C34" w14:textId="77777777" w:rsidR="005C569A" w:rsidRPr="005C569A" w:rsidRDefault="005C569A" w:rsidP="005C569A">
            <w:pPr>
              <w:jc w:val="right"/>
              <w:rPr>
                <w:rFonts w:cs="Arial"/>
                <w:color w:val="000000"/>
                <w:szCs w:val="24"/>
                <w:lang w:eastAsia="en-GB"/>
              </w:rPr>
            </w:pPr>
            <w:r w:rsidRPr="005C569A">
              <w:rPr>
                <w:rFonts w:cs="Arial"/>
                <w:color w:val="000000"/>
                <w:szCs w:val="24"/>
                <w:lang w:eastAsia="en-GB"/>
              </w:rPr>
              <w:t>2.07</w:t>
            </w:r>
          </w:p>
        </w:tc>
      </w:tr>
      <w:tr w:rsidR="005C569A" w:rsidRPr="005C569A" w14:paraId="54145FCE" w14:textId="77777777" w:rsidTr="00E92157">
        <w:trPr>
          <w:trHeight w:val="285"/>
        </w:trPr>
        <w:tc>
          <w:tcPr>
            <w:tcW w:w="7185" w:type="dxa"/>
            <w:shd w:val="clear" w:color="auto" w:fill="auto"/>
            <w:noWrap/>
            <w:vAlign w:val="bottom"/>
            <w:hideMark/>
          </w:tcPr>
          <w:p w14:paraId="47F8862A" w14:textId="5BC75EBC" w:rsidR="005C569A" w:rsidRPr="005C569A" w:rsidRDefault="005C569A" w:rsidP="005C569A">
            <w:pPr>
              <w:rPr>
                <w:rFonts w:cs="Arial"/>
                <w:color w:val="000000"/>
                <w:szCs w:val="24"/>
                <w:lang w:eastAsia="en-GB"/>
              </w:rPr>
            </w:pPr>
            <w:r w:rsidRPr="005C569A">
              <w:rPr>
                <w:rFonts w:cs="Arial"/>
                <w:color w:val="000000"/>
                <w:szCs w:val="24"/>
                <w:lang w:eastAsia="en-GB"/>
              </w:rPr>
              <w:t>Total length of new cycle ways</w:t>
            </w:r>
            <w:r w:rsidR="00132B92">
              <w:rPr>
                <w:rFonts w:cs="Arial"/>
                <w:color w:val="000000"/>
                <w:szCs w:val="24"/>
                <w:lang w:eastAsia="en-GB"/>
              </w:rPr>
              <w:t xml:space="preserve"> (km)</w:t>
            </w:r>
          </w:p>
        </w:tc>
        <w:tc>
          <w:tcPr>
            <w:tcW w:w="1315" w:type="dxa"/>
            <w:shd w:val="clear" w:color="auto" w:fill="auto"/>
            <w:vAlign w:val="center"/>
            <w:hideMark/>
          </w:tcPr>
          <w:p w14:paraId="7395C786" w14:textId="77777777" w:rsidR="005C569A" w:rsidRPr="005C569A" w:rsidRDefault="005C569A" w:rsidP="005C569A">
            <w:pPr>
              <w:jc w:val="right"/>
              <w:rPr>
                <w:rFonts w:cs="Arial"/>
                <w:color w:val="000000"/>
                <w:szCs w:val="24"/>
                <w:lang w:eastAsia="en-GB"/>
              </w:rPr>
            </w:pPr>
            <w:r w:rsidRPr="005C569A">
              <w:rPr>
                <w:rFonts w:cs="Arial"/>
                <w:color w:val="000000"/>
                <w:szCs w:val="24"/>
                <w:lang w:eastAsia="en-GB"/>
              </w:rPr>
              <w:t>2</w:t>
            </w:r>
          </w:p>
        </w:tc>
      </w:tr>
      <w:tr w:rsidR="00586E90" w:rsidRPr="005C569A" w14:paraId="1DFC7DB8" w14:textId="77777777" w:rsidTr="00E92157">
        <w:trPr>
          <w:trHeight w:val="285"/>
        </w:trPr>
        <w:tc>
          <w:tcPr>
            <w:tcW w:w="7185" w:type="dxa"/>
            <w:shd w:val="clear" w:color="auto" w:fill="D9D9D9" w:themeFill="background1" w:themeFillShade="D9"/>
            <w:noWrap/>
            <w:vAlign w:val="bottom"/>
          </w:tcPr>
          <w:p w14:paraId="77915507" w14:textId="21D9D5B7" w:rsidR="00586E90" w:rsidRPr="00AA7FC6" w:rsidRDefault="00AA7FC6" w:rsidP="005C569A">
            <w:pPr>
              <w:rPr>
                <w:rFonts w:cs="Arial"/>
                <w:b/>
                <w:bCs/>
                <w:color w:val="000000"/>
                <w:szCs w:val="24"/>
                <w:lang w:eastAsia="en-GB"/>
              </w:rPr>
            </w:pPr>
            <w:r w:rsidRPr="00AA7FC6">
              <w:rPr>
                <w:rFonts w:cs="Arial"/>
                <w:b/>
                <w:bCs/>
                <w:color w:val="000000"/>
                <w:szCs w:val="24"/>
                <w:lang w:eastAsia="en-GB"/>
              </w:rPr>
              <w:t>Meanwhile Use</w:t>
            </w:r>
          </w:p>
        </w:tc>
        <w:tc>
          <w:tcPr>
            <w:tcW w:w="1315" w:type="dxa"/>
            <w:shd w:val="clear" w:color="auto" w:fill="D9D9D9" w:themeFill="background1" w:themeFillShade="D9"/>
            <w:vAlign w:val="center"/>
          </w:tcPr>
          <w:p w14:paraId="1D77F4F1" w14:textId="77777777" w:rsidR="00586E90" w:rsidRPr="00AA7FC6" w:rsidRDefault="00586E90" w:rsidP="005C569A">
            <w:pPr>
              <w:jc w:val="right"/>
              <w:rPr>
                <w:rFonts w:cs="Arial"/>
                <w:color w:val="000000"/>
                <w:szCs w:val="24"/>
                <w:lang w:eastAsia="en-GB"/>
              </w:rPr>
            </w:pPr>
          </w:p>
        </w:tc>
      </w:tr>
      <w:tr w:rsidR="00C63321" w:rsidRPr="00C63321" w14:paraId="06A70BAD" w14:textId="77777777" w:rsidTr="00E92157">
        <w:trPr>
          <w:trHeight w:val="285"/>
        </w:trPr>
        <w:tc>
          <w:tcPr>
            <w:tcW w:w="7185" w:type="dxa"/>
            <w:shd w:val="clear" w:color="auto" w:fill="auto"/>
            <w:vAlign w:val="center"/>
            <w:hideMark/>
          </w:tcPr>
          <w:p w14:paraId="0CCDCC47" w14:textId="1A979113" w:rsidR="00C63321" w:rsidRPr="00C63321" w:rsidRDefault="00C63321" w:rsidP="00C63321">
            <w:pPr>
              <w:rPr>
                <w:rFonts w:cs="Arial"/>
                <w:color w:val="000000"/>
                <w:szCs w:val="24"/>
                <w:lang w:eastAsia="en-GB"/>
              </w:rPr>
            </w:pPr>
            <w:r w:rsidRPr="00C63321">
              <w:rPr>
                <w:rFonts w:cs="Arial"/>
                <w:color w:val="000000"/>
                <w:szCs w:val="24"/>
                <w:lang w:eastAsia="en-GB"/>
              </w:rPr>
              <w:t>Amount of new office space</w:t>
            </w:r>
            <w:r w:rsidR="00AA7FC6" w:rsidRPr="00AA7FC6">
              <w:rPr>
                <w:rFonts w:cs="Arial"/>
                <w:color w:val="000000"/>
                <w:szCs w:val="24"/>
                <w:lang w:eastAsia="en-GB"/>
              </w:rPr>
              <w:t xml:space="preserve"> (square metres)</w:t>
            </w:r>
          </w:p>
        </w:tc>
        <w:tc>
          <w:tcPr>
            <w:tcW w:w="1315" w:type="dxa"/>
            <w:shd w:val="clear" w:color="auto" w:fill="auto"/>
            <w:vAlign w:val="center"/>
            <w:hideMark/>
          </w:tcPr>
          <w:p w14:paraId="5DA46441" w14:textId="77777777" w:rsidR="00C63321" w:rsidRPr="00C63321" w:rsidRDefault="00C63321" w:rsidP="00C63321">
            <w:pPr>
              <w:jc w:val="right"/>
              <w:rPr>
                <w:rFonts w:cs="Arial"/>
                <w:color w:val="000000"/>
                <w:szCs w:val="24"/>
                <w:lang w:eastAsia="en-GB"/>
              </w:rPr>
            </w:pPr>
            <w:r w:rsidRPr="00C63321">
              <w:rPr>
                <w:rFonts w:cs="Arial"/>
                <w:color w:val="000000"/>
                <w:szCs w:val="24"/>
                <w:lang w:eastAsia="en-GB"/>
              </w:rPr>
              <w:t>300</w:t>
            </w:r>
          </w:p>
        </w:tc>
      </w:tr>
      <w:tr w:rsidR="00B013EC" w:rsidRPr="00B013EC" w14:paraId="41C81E1E" w14:textId="77777777" w:rsidTr="00E92157">
        <w:trPr>
          <w:trHeight w:val="208"/>
        </w:trPr>
        <w:tc>
          <w:tcPr>
            <w:tcW w:w="7185" w:type="dxa"/>
            <w:shd w:val="clear" w:color="auto" w:fill="D9D9D9" w:themeFill="background1" w:themeFillShade="D9"/>
            <w:vAlign w:val="center"/>
          </w:tcPr>
          <w:p w14:paraId="6F9307E0" w14:textId="13B30117" w:rsidR="00B013EC" w:rsidRPr="00AA7FC6" w:rsidRDefault="00C03B65" w:rsidP="00B013EC">
            <w:pPr>
              <w:rPr>
                <w:rFonts w:cs="Arial"/>
                <w:b/>
                <w:bCs/>
                <w:color w:val="000000"/>
                <w:szCs w:val="24"/>
                <w:lang w:eastAsia="en-GB"/>
              </w:rPr>
            </w:pPr>
            <w:r>
              <w:rPr>
                <w:rFonts w:cs="Arial"/>
                <w:b/>
                <w:bCs/>
                <w:color w:val="000000"/>
                <w:szCs w:val="24"/>
                <w:lang w:eastAsia="en-GB"/>
              </w:rPr>
              <w:t xml:space="preserve">St Ann’s Road </w:t>
            </w:r>
            <w:r w:rsidR="00AA7FC6" w:rsidRPr="00AA7FC6">
              <w:rPr>
                <w:rFonts w:cs="Arial"/>
                <w:b/>
                <w:bCs/>
                <w:color w:val="000000"/>
                <w:szCs w:val="24"/>
                <w:lang w:eastAsia="en-GB"/>
              </w:rPr>
              <w:t>Kiosks</w:t>
            </w:r>
          </w:p>
        </w:tc>
        <w:tc>
          <w:tcPr>
            <w:tcW w:w="1315" w:type="dxa"/>
            <w:shd w:val="clear" w:color="auto" w:fill="D9D9D9" w:themeFill="background1" w:themeFillShade="D9"/>
            <w:vAlign w:val="center"/>
          </w:tcPr>
          <w:p w14:paraId="76A20C8B" w14:textId="77777777" w:rsidR="00B013EC" w:rsidRPr="00AA7FC6" w:rsidRDefault="00B013EC" w:rsidP="00B013EC">
            <w:pPr>
              <w:jc w:val="right"/>
              <w:rPr>
                <w:rFonts w:cs="Arial"/>
                <w:color w:val="000000"/>
                <w:szCs w:val="24"/>
                <w:lang w:eastAsia="en-GB"/>
              </w:rPr>
            </w:pPr>
          </w:p>
        </w:tc>
      </w:tr>
      <w:tr w:rsidR="00B013EC" w:rsidRPr="00B013EC" w14:paraId="2558D071" w14:textId="77777777" w:rsidTr="00E92157">
        <w:trPr>
          <w:trHeight w:val="406"/>
        </w:trPr>
        <w:tc>
          <w:tcPr>
            <w:tcW w:w="7185" w:type="dxa"/>
            <w:shd w:val="clear" w:color="auto" w:fill="auto"/>
            <w:vAlign w:val="center"/>
            <w:hideMark/>
          </w:tcPr>
          <w:p w14:paraId="008FAF42" w14:textId="5245A4CA" w:rsidR="00B013EC" w:rsidRPr="00B013EC" w:rsidRDefault="00B013EC" w:rsidP="00B013EC">
            <w:pPr>
              <w:rPr>
                <w:rFonts w:cs="Arial"/>
                <w:color w:val="000000"/>
                <w:szCs w:val="24"/>
                <w:lang w:eastAsia="en-GB"/>
              </w:rPr>
            </w:pPr>
            <w:r w:rsidRPr="00B013EC">
              <w:rPr>
                <w:rFonts w:cs="Arial"/>
                <w:color w:val="000000"/>
                <w:szCs w:val="24"/>
                <w:lang w:eastAsia="en-GB"/>
              </w:rPr>
              <w:t>Amount of new commercial space</w:t>
            </w:r>
            <w:r w:rsidR="00AA7FC6" w:rsidRPr="00AA7FC6">
              <w:rPr>
                <w:rFonts w:cs="Arial"/>
                <w:color w:val="000000"/>
                <w:szCs w:val="24"/>
                <w:lang w:eastAsia="en-GB"/>
              </w:rPr>
              <w:t xml:space="preserve"> (square metres)</w:t>
            </w:r>
          </w:p>
        </w:tc>
        <w:tc>
          <w:tcPr>
            <w:tcW w:w="1315" w:type="dxa"/>
            <w:shd w:val="clear" w:color="auto" w:fill="auto"/>
            <w:vAlign w:val="center"/>
            <w:hideMark/>
          </w:tcPr>
          <w:p w14:paraId="6796F599" w14:textId="77777777" w:rsidR="00B013EC" w:rsidRPr="00B013EC" w:rsidRDefault="00B013EC" w:rsidP="00B013EC">
            <w:pPr>
              <w:jc w:val="right"/>
              <w:rPr>
                <w:rFonts w:cs="Arial"/>
                <w:color w:val="000000"/>
                <w:szCs w:val="24"/>
                <w:lang w:eastAsia="en-GB"/>
              </w:rPr>
            </w:pPr>
            <w:r w:rsidRPr="00B013EC">
              <w:rPr>
                <w:rFonts w:cs="Arial"/>
                <w:color w:val="000000"/>
                <w:szCs w:val="24"/>
                <w:lang w:eastAsia="en-GB"/>
              </w:rPr>
              <w:t>120</w:t>
            </w:r>
          </w:p>
        </w:tc>
      </w:tr>
    </w:tbl>
    <w:p w14:paraId="4A2A92D4" w14:textId="77777777" w:rsidR="00B013EC" w:rsidRDefault="00B013EC" w:rsidP="19908547">
      <w:pPr>
        <w:tabs>
          <w:tab w:val="left" w:pos="7245"/>
        </w:tabs>
        <w:spacing w:line="259" w:lineRule="auto"/>
      </w:pPr>
    </w:p>
    <w:p w14:paraId="482D5093" w14:textId="7BAB7C1E" w:rsidR="00333FAA" w:rsidRPr="003F0DD6" w:rsidRDefault="00333FAA" w:rsidP="19908547">
      <w:pPr>
        <w:spacing w:line="259" w:lineRule="auto"/>
        <w:rPr>
          <w:b/>
          <w:bCs/>
        </w:rPr>
      </w:pPr>
      <w:r w:rsidRPr="003F0DD6">
        <w:rPr>
          <w:b/>
          <w:bCs/>
        </w:rPr>
        <w:t>Environmental Implications</w:t>
      </w:r>
    </w:p>
    <w:p w14:paraId="725E999E" w14:textId="07CEF691" w:rsidR="000929A6" w:rsidRDefault="00C83BE5" w:rsidP="19908547">
      <w:pPr>
        <w:spacing w:line="259" w:lineRule="auto"/>
      </w:pPr>
      <w:r>
        <w:t>T</w:t>
      </w:r>
      <w:r w:rsidR="003701B6">
        <w:t xml:space="preserve">he proposals aim to </w:t>
      </w:r>
      <w:r w:rsidR="004C51F7">
        <w:t>improve experience, drive growth, and ensure future sustainability</w:t>
      </w:r>
      <w:r>
        <w:t xml:space="preserve"> of Harrow Town Centre. </w:t>
      </w:r>
    </w:p>
    <w:p w14:paraId="2791B4AC" w14:textId="77777777" w:rsidR="00AD6B26" w:rsidRDefault="00AD6B26" w:rsidP="19908547">
      <w:pPr>
        <w:spacing w:line="259" w:lineRule="auto"/>
      </w:pPr>
    </w:p>
    <w:p w14:paraId="2F1C10CD" w14:textId="678CEC54" w:rsidR="00075A8B" w:rsidRDefault="00F62CED" w:rsidP="19908547">
      <w:pPr>
        <w:spacing w:line="259" w:lineRule="auto"/>
      </w:pPr>
      <w:r>
        <w:t>The public realm i</w:t>
      </w:r>
      <w:r w:rsidR="00162705">
        <w:t>nvestment</w:t>
      </w:r>
      <w:r>
        <w:t xml:space="preserve"> will </w:t>
      </w:r>
      <w:r w:rsidR="00162705">
        <w:t xml:space="preserve">improve accessibility for pedestrians and the overall experience. </w:t>
      </w:r>
    </w:p>
    <w:p w14:paraId="352F12E3" w14:textId="1875F34D" w:rsidR="00730C2B" w:rsidRDefault="00AF7480" w:rsidP="19908547">
      <w:pPr>
        <w:spacing w:line="259" w:lineRule="auto"/>
      </w:pPr>
      <w:r>
        <w:t xml:space="preserve">By focussing investment </w:t>
      </w:r>
      <w:bookmarkStart w:id="0" w:name="_Int_7RYgEOnK"/>
      <w:proofErr w:type="gramStart"/>
      <w:r>
        <w:t>in</w:t>
      </w:r>
      <w:bookmarkEnd w:id="0"/>
      <w:proofErr w:type="gramEnd"/>
      <w:r>
        <w:t xml:space="preserve"> Harrow Town Centre</w:t>
      </w:r>
      <w:r w:rsidR="00B235D1">
        <w:t>, the</w:t>
      </w:r>
      <w:r w:rsidR="00F77C36">
        <w:t xml:space="preserve">re is the best opportunity for shoppers to use </w:t>
      </w:r>
      <w:r w:rsidR="0038457E">
        <w:t xml:space="preserve">public </w:t>
      </w:r>
      <w:r w:rsidR="005C108F">
        <w:t xml:space="preserve">transport to </w:t>
      </w:r>
      <w:r w:rsidR="002967B8">
        <w:t xml:space="preserve">access the town centre. </w:t>
      </w:r>
    </w:p>
    <w:p w14:paraId="44193929" w14:textId="77777777" w:rsidR="0038457E" w:rsidRDefault="0038457E" w:rsidP="19908547">
      <w:pPr>
        <w:spacing w:line="259" w:lineRule="auto"/>
      </w:pPr>
    </w:p>
    <w:p w14:paraId="31409836" w14:textId="77777777" w:rsidR="002A3FEF" w:rsidRPr="00D30418" w:rsidRDefault="002A3FEF" w:rsidP="19908547">
      <w:pPr>
        <w:spacing w:line="259" w:lineRule="auto"/>
        <w:rPr>
          <w:b/>
          <w:bCs/>
        </w:rPr>
      </w:pPr>
      <w:r w:rsidRPr="00D30418">
        <w:rPr>
          <w:b/>
          <w:bCs/>
        </w:rPr>
        <w:t>Dat</w:t>
      </w:r>
      <w:r w:rsidR="00DE72CF" w:rsidRPr="00D30418">
        <w:rPr>
          <w:b/>
          <w:bCs/>
        </w:rPr>
        <w:t>a</w:t>
      </w:r>
      <w:r w:rsidRPr="00D30418">
        <w:rPr>
          <w:b/>
          <w:bCs/>
        </w:rPr>
        <w:t xml:space="preserve"> Protection Implications</w:t>
      </w:r>
    </w:p>
    <w:p w14:paraId="5C01807B" w14:textId="7F33B3D1" w:rsidR="007716A9" w:rsidRPr="003613CA" w:rsidRDefault="003613CA" w:rsidP="19908547">
      <w:pPr>
        <w:spacing w:line="259" w:lineRule="auto"/>
      </w:pPr>
      <w:r>
        <w:t>There are no data protection implications</w:t>
      </w:r>
      <w:r w:rsidR="00FF7C23">
        <w:t xml:space="preserve">. </w:t>
      </w:r>
    </w:p>
    <w:p w14:paraId="583A8F09" w14:textId="77777777" w:rsidR="00E154A9" w:rsidRDefault="00E154A9" w:rsidP="19908547">
      <w:pPr>
        <w:spacing w:line="259" w:lineRule="auto"/>
      </w:pPr>
    </w:p>
    <w:p w14:paraId="75284416" w14:textId="5B2FEA40" w:rsidR="00A81E19" w:rsidRPr="00D30418" w:rsidRDefault="00A81E19" w:rsidP="19908547">
      <w:pPr>
        <w:spacing w:line="259" w:lineRule="auto"/>
        <w:rPr>
          <w:b/>
          <w:bCs/>
        </w:rPr>
      </w:pPr>
      <w:r w:rsidRPr="00D30418">
        <w:rPr>
          <w:b/>
          <w:bCs/>
        </w:rPr>
        <w:t>Risk Management Implications</w:t>
      </w:r>
    </w:p>
    <w:p w14:paraId="49814DF8" w14:textId="23E0AB99" w:rsidR="00A51C2E" w:rsidRPr="00C6678E" w:rsidRDefault="00A51C2E" w:rsidP="00A51C2E">
      <w:pPr>
        <w:textAlignment w:val="baseline"/>
        <w:rPr>
          <w:rFonts w:ascii="Segoe UI" w:hAnsi="Segoe UI" w:cs="Segoe UI"/>
          <w:sz w:val="18"/>
          <w:szCs w:val="18"/>
          <w:lang w:eastAsia="en-GB"/>
        </w:rPr>
      </w:pPr>
      <w:bookmarkStart w:id="1" w:name="_Hlk60923477"/>
      <w:bookmarkStart w:id="2" w:name="_Hlk60922991"/>
      <w:bookmarkStart w:id="3" w:name="_Hlk60923939"/>
      <w:r w:rsidRPr="00C6678E">
        <w:rPr>
          <w:rFonts w:cs="Arial"/>
          <w:szCs w:val="24"/>
          <w:lang w:val="en-US" w:eastAsia="en-GB"/>
        </w:rPr>
        <w:t xml:space="preserve">Risks included on corporate or directorate risk </w:t>
      </w:r>
      <w:proofErr w:type="gramStart"/>
      <w:r w:rsidRPr="00C6678E">
        <w:rPr>
          <w:rFonts w:cs="Arial"/>
          <w:szCs w:val="24"/>
          <w:lang w:val="en-US" w:eastAsia="en-GB"/>
        </w:rPr>
        <w:t>register?</w:t>
      </w:r>
      <w:proofErr w:type="gramEnd"/>
      <w:r w:rsidRPr="00C6678E">
        <w:rPr>
          <w:rFonts w:cs="Arial"/>
          <w:szCs w:val="24"/>
          <w:lang w:val="en-US" w:eastAsia="en-GB"/>
        </w:rPr>
        <w:t xml:space="preserve"> </w:t>
      </w:r>
      <w:r w:rsidR="00770B04">
        <w:rPr>
          <w:rFonts w:cs="Arial"/>
          <w:b/>
          <w:bCs/>
          <w:szCs w:val="24"/>
          <w:lang w:val="en-US" w:eastAsia="en-GB"/>
        </w:rPr>
        <w:t>NO</w:t>
      </w:r>
    </w:p>
    <w:p w14:paraId="00990089" w14:textId="77777777" w:rsidR="00A51C2E" w:rsidRPr="00C6678E" w:rsidRDefault="00A51C2E" w:rsidP="00A51C2E">
      <w:pPr>
        <w:textAlignment w:val="baseline"/>
        <w:rPr>
          <w:rFonts w:ascii="Segoe UI" w:hAnsi="Segoe UI" w:cs="Segoe UI"/>
          <w:sz w:val="18"/>
          <w:szCs w:val="18"/>
          <w:lang w:eastAsia="en-GB"/>
        </w:rPr>
      </w:pPr>
    </w:p>
    <w:p w14:paraId="08B6284B" w14:textId="3276AE7C" w:rsidR="00A51C2E" w:rsidRPr="00C6678E" w:rsidRDefault="00A51C2E" w:rsidP="00A51C2E">
      <w:pPr>
        <w:textAlignment w:val="baseline"/>
        <w:rPr>
          <w:rFonts w:ascii="Segoe UI" w:hAnsi="Segoe UI" w:cs="Segoe UI"/>
          <w:sz w:val="18"/>
          <w:szCs w:val="18"/>
          <w:lang w:eastAsia="en-GB"/>
        </w:rPr>
      </w:pPr>
      <w:r w:rsidRPr="00C6678E">
        <w:rPr>
          <w:rFonts w:cs="Arial"/>
          <w:szCs w:val="24"/>
          <w:lang w:val="en-US" w:eastAsia="en-GB"/>
        </w:rPr>
        <w:t xml:space="preserve">Separate risk register in place? </w:t>
      </w:r>
      <w:r w:rsidR="00770B04" w:rsidRPr="00770B04">
        <w:rPr>
          <w:rFonts w:cs="Arial"/>
          <w:b/>
          <w:bCs/>
          <w:szCs w:val="24"/>
          <w:lang w:val="en-US" w:eastAsia="en-GB"/>
        </w:rPr>
        <w:t>YES</w:t>
      </w:r>
    </w:p>
    <w:p w14:paraId="4F347247" w14:textId="77777777" w:rsidR="00A51C2E" w:rsidRPr="00C6678E" w:rsidRDefault="00A51C2E" w:rsidP="00A51C2E">
      <w:pPr>
        <w:textAlignment w:val="baseline"/>
        <w:rPr>
          <w:rFonts w:ascii="Segoe UI" w:hAnsi="Segoe UI" w:cs="Segoe UI"/>
          <w:sz w:val="18"/>
          <w:szCs w:val="18"/>
          <w:lang w:eastAsia="en-GB"/>
        </w:rPr>
      </w:pPr>
    </w:p>
    <w:p w14:paraId="2A10F981" w14:textId="77777777" w:rsidR="00A51C2E" w:rsidRPr="00C6678E" w:rsidRDefault="00A51C2E" w:rsidP="00A51C2E">
      <w:pPr>
        <w:textAlignment w:val="baseline"/>
        <w:rPr>
          <w:rFonts w:ascii="Segoe UI" w:hAnsi="Segoe UI" w:cs="Segoe UI"/>
          <w:sz w:val="18"/>
          <w:szCs w:val="18"/>
          <w:lang w:eastAsia="en-GB"/>
        </w:rPr>
      </w:pPr>
      <w:r w:rsidRPr="00C6678E">
        <w:rPr>
          <w:rFonts w:cs="Arial"/>
          <w:szCs w:val="24"/>
          <w:lang w:eastAsia="en-GB"/>
        </w:rPr>
        <w:lastRenderedPageBreak/>
        <w:t xml:space="preserve">The relevant risks contained in the register are attached/summarised below. </w:t>
      </w:r>
      <w:r w:rsidRPr="0065278C">
        <w:rPr>
          <w:rFonts w:cs="Arial"/>
          <w:b/>
          <w:bCs/>
          <w:szCs w:val="24"/>
          <w:lang w:val="en-US" w:eastAsia="en-GB"/>
        </w:rPr>
        <w:t>YES</w:t>
      </w:r>
    </w:p>
    <w:p w14:paraId="45AEB19F" w14:textId="77777777" w:rsidR="00105B8A" w:rsidRDefault="00105B8A" w:rsidP="19908547">
      <w:pPr>
        <w:spacing w:line="259" w:lineRule="auto"/>
      </w:pPr>
    </w:p>
    <w:p w14:paraId="68B1512C" w14:textId="2759935A" w:rsidR="00C53F1A" w:rsidRDefault="00C53F1A" w:rsidP="19908547">
      <w:pPr>
        <w:spacing w:line="259" w:lineRule="auto"/>
      </w:pPr>
      <w:r>
        <w:t xml:space="preserve">The following key risks should be </w:t>
      </w:r>
      <w:proofErr w:type="gramStart"/>
      <w:r>
        <w:t xml:space="preserve">taken </w:t>
      </w:r>
      <w:r w:rsidR="00105B8A">
        <w:t>i</w:t>
      </w:r>
      <w:r>
        <w:t>nto account</w:t>
      </w:r>
      <w:proofErr w:type="gramEnd"/>
      <w:r>
        <w:t xml:space="preserve"> when agreeing the recommendations in this report:</w:t>
      </w:r>
    </w:p>
    <w:p w14:paraId="1C9305C4" w14:textId="77777777" w:rsidR="00153387" w:rsidRDefault="00153387" w:rsidP="19908547">
      <w:pPr>
        <w:spacing w:line="259" w:lineRule="auto"/>
      </w:pPr>
    </w:p>
    <w:tbl>
      <w:tblPr>
        <w:tblW w:w="8642" w:type="dxa"/>
        <w:tblCellMar>
          <w:left w:w="10" w:type="dxa"/>
          <w:right w:w="10" w:type="dxa"/>
        </w:tblCellMar>
        <w:tblLook w:val="04A0" w:firstRow="1" w:lastRow="0" w:firstColumn="1" w:lastColumn="0" w:noHBand="0" w:noVBand="1"/>
      </w:tblPr>
      <w:tblGrid>
        <w:gridCol w:w="3964"/>
        <w:gridCol w:w="3402"/>
        <w:gridCol w:w="1264"/>
        <w:gridCol w:w="12"/>
      </w:tblGrid>
      <w:tr w:rsidR="00102290" w:rsidRPr="00A8121C" w14:paraId="5281F9F1" w14:textId="77777777">
        <w:trPr>
          <w:gridAfter w:val="1"/>
          <w:wAfter w:w="12" w:type="dxa"/>
          <w:trHeight w:val="448"/>
          <w:tblHeader/>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844C995" w14:textId="77777777" w:rsidR="00102290" w:rsidRPr="00A8121C" w:rsidRDefault="00102290">
            <w:pPr>
              <w:spacing w:line="259" w:lineRule="auto"/>
              <w:rPr>
                <w:b/>
                <w:bCs/>
                <w:lang w:val="en-US"/>
              </w:rPr>
            </w:pPr>
            <w:r w:rsidRPr="00A8121C">
              <w:rPr>
                <w:b/>
                <w:bCs/>
                <w:lang w:val="en-US"/>
              </w:rPr>
              <w:t>Risk Description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1F620EA" w14:textId="77777777" w:rsidR="00102290" w:rsidRPr="00A8121C" w:rsidRDefault="00102290">
            <w:pPr>
              <w:spacing w:line="259" w:lineRule="auto"/>
              <w:rPr>
                <w:b/>
                <w:bCs/>
                <w:lang w:val="en-US"/>
              </w:rPr>
            </w:pPr>
            <w:r w:rsidRPr="00A8121C">
              <w:rPr>
                <w:b/>
                <w:bCs/>
                <w:lang w:val="en-US"/>
              </w:rPr>
              <w:t>Mitigations</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5964EE" w14:textId="77777777" w:rsidR="00102290" w:rsidRPr="00A8121C" w:rsidRDefault="00102290">
            <w:pPr>
              <w:spacing w:line="259" w:lineRule="auto"/>
              <w:rPr>
                <w:b/>
                <w:bCs/>
                <w:lang w:val="en-US"/>
              </w:rPr>
            </w:pPr>
            <w:r w:rsidRPr="00A8121C">
              <w:rPr>
                <w:b/>
                <w:bCs/>
                <w:lang w:val="en-US"/>
              </w:rPr>
              <w:t>RAG Status</w:t>
            </w:r>
          </w:p>
        </w:tc>
      </w:tr>
      <w:tr w:rsidR="00102290" w:rsidRPr="001315B2" w14:paraId="42969D3E" w14:textId="77777777">
        <w:trPr>
          <w:gridAfter w:val="1"/>
          <w:wAfter w:w="12" w:type="dxa"/>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5E7993" w14:textId="79DB25F8" w:rsidR="00102290" w:rsidRPr="000A0F45" w:rsidRDefault="00102290">
            <w:pPr>
              <w:pStyle w:val="CommentText"/>
              <w:rPr>
                <w:sz w:val="24"/>
                <w:szCs w:val="24"/>
              </w:rPr>
            </w:pPr>
            <w:r w:rsidRPr="000A0F45">
              <w:rPr>
                <w:sz w:val="24"/>
                <w:szCs w:val="24"/>
              </w:rPr>
              <w:t>If the recommendations are not agreed</w:t>
            </w:r>
            <w:r w:rsidR="00AE6D57">
              <w:rPr>
                <w:sz w:val="24"/>
                <w:szCs w:val="24"/>
              </w:rPr>
              <w:t>,</w:t>
            </w:r>
            <w:r w:rsidRPr="000A0F45">
              <w:rPr>
                <w:sz w:val="24"/>
                <w:szCs w:val="24"/>
              </w:rPr>
              <w:t xml:space="preserve"> it would mean that the Council would not be able to invest in Harrow Town Centre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6AF33D" w14:textId="77777777" w:rsidR="00102290" w:rsidRPr="000A0F45" w:rsidRDefault="00102290" w:rsidP="003E7BA1">
            <w:pPr>
              <w:pStyle w:val="ListParagraph"/>
              <w:numPr>
                <w:ilvl w:val="0"/>
                <w:numId w:val="16"/>
              </w:numPr>
              <w:spacing w:line="259" w:lineRule="auto"/>
              <w:ind w:left="460" w:hanging="460"/>
              <w:rPr>
                <w:lang w:val="en-US"/>
              </w:rPr>
            </w:pPr>
            <w:r w:rsidRPr="000A0F45">
              <w:rPr>
                <w:lang w:val="en-US"/>
              </w:rPr>
              <w:t xml:space="preserve">Acceptance of the report’s recommendations will fully mitigate this risk </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10024826" w14:textId="77777777" w:rsidR="00102290" w:rsidRPr="001315B2" w:rsidRDefault="00102290">
            <w:pPr>
              <w:spacing w:line="259" w:lineRule="auto"/>
              <w:jc w:val="center"/>
              <w:rPr>
                <w:b/>
                <w:bCs/>
                <w:lang w:val="en-US"/>
              </w:rPr>
            </w:pPr>
            <w:r w:rsidRPr="001315B2">
              <w:rPr>
                <w:b/>
                <w:bCs/>
                <w:lang w:val="en-US"/>
              </w:rPr>
              <w:t>GREEN</w:t>
            </w:r>
          </w:p>
        </w:tc>
      </w:tr>
      <w:tr w:rsidR="00102290" w:rsidRPr="00400678" w14:paraId="2DFD352D" w14:textId="77777777">
        <w:trPr>
          <w:gridAfter w:val="1"/>
          <w:wAfter w:w="12" w:type="dxa"/>
          <w:trHeight w:val="1715"/>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1B1949" w14:textId="77777777" w:rsidR="00102290" w:rsidRPr="000A0F45" w:rsidRDefault="00102290">
            <w:pPr>
              <w:spacing w:line="259" w:lineRule="auto"/>
            </w:pPr>
            <w:r w:rsidRPr="000A0F45">
              <w:t>Project capital and investment costs are significantly higher than expected in the current and uncertain economic climate and are not covered by available funding leading to increased cost pressures and/or to projects being delayed or scaled back</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5A5BD1E" w14:textId="77777777" w:rsidR="00102290" w:rsidRPr="000A0F45" w:rsidRDefault="00102290" w:rsidP="003E7BA1">
            <w:pPr>
              <w:pStyle w:val="ListParagraph"/>
              <w:numPr>
                <w:ilvl w:val="0"/>
                <w:numId w:val="16"/>
              </w:numPr>
              <w:spacing w:line="259" w:lineRule="auto"/>
              <w:ind w:left="460" w:hanging="460"/>
              <w:rPr>
                <w:lang w:val="en-US"/>
              </w:rPr>
            </w:pPr>
            <w:r w:rsidRPr="000A0F45">
              <w:rPr>
                <w:lang w:val="en-US"/>
              </w:rPr>
              <w:t>Contingency costs are included on a per project basis in the overall project costings</w:t>
            </w:r>
          </w:p>
          <w:p w14:paraId="5254F932" w14:textId="00FA9B65" w:rsidR="00102290" w:rsidRPr="000A0F45" w:rsidRDefault="00102290" w:rsidP="003E7BA1">
            <w:pPr>
              <w:pStyle w:val="ListParagraph"/>
              <w:numPr>
                <w:ilvl w:val="0"/>
                <w:numId w:val="16"/>
              </w:numPr>
              <w:spacing w:line="259" w:lineRule="auto"/>
              <w:ind w:left="460" w:hanging="460"/>
              <w:rPr>
                <w:lang w:val="en-US"/>
              </w:rPr>
            </w:pPr>
            <w:r w:rsidRPr="000A0F45">
              <w:rPr>
                <w:lang w:val="en-US"/>
              </w:rPr>
              <w:t xml:space="preserve">If costs increase greater than </w:t>
            </w:r>
            <w:r w:rsidR="005C7413" w:rsidRPr="000A0F45">
              <w:rPr>
                <w:lang w:val="en-US"/>
              </w:rPr>
              <w:t>contingency,</w:t>
            </w:r>
            <w:r w:rsidRPr="000A0F45">
              <w:rPr>
                <w:lang w:val="en-US"/>
              </w:rPr>
              <w:t xml:space="preserve"> we can review the projects and if </w:t>
            </w:r>
            <w:r w:rsidR="005C7413" w:rsidRPr="000A0F45">
              <w:rPr>
                <w:lang w:val="en-US"/>
              </w:rPr>
              <w:t>necessary,</w:t>
            </w:r>
            <w:r w:rsidRPr="000A0F45">
              <w:rPr>
                <w:lang w:val="en-US"/>
              </w:rPr>
              <w:t xml:space="preserve"> scale back the public realm project</w:t>
            </w:r>
          </w:p>
          <w:p w14:paraId="20E8D014" w14:textId="77777777" w:rsidR="00102290" w:rsidRPr="000A0F45" w:rsidRDefault="00102290" w:rsidP="003E7BA1">
            <w:pPr>
              <w:pStyle w:val="ListParagraph"/>
              <w:numPr>
                <w:ilvl w:val="0"/>
                <w:numId w:val="16"/>
              </w:numPr>
              <w:spacing w:line="259" w:lineRule="auto"/>
              <w:ind w:left="460" w:hanging="460"/>
              <w:rPr>
                <w:lang w:val="en-US"/>
              </w:rPr>
            </w:pPr>
            <w:r w:rsidRPr="000A0F45">
              <w:rPr>
                <w:lang w:val="en-US"/>
              </w:rPr>
              <w:t xml:space="preserve">Tenders for the Meanwhile Use caps the cost of these projects to the Council </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1E834BBC" w14:textId="77777777" w:rsidR="00102290" w:rsidRPr="00400678" w:rsidRDefault="00102290">
            <w:pPr>
              <w:spacing w:line="259" w:lineRule="auto"/>
              <w:jc w:val="center"/>
              <w:rPr>
                <w:b/>
                <w:bCs/>
                <w:lang w:val="en-US"/>
              </w:rPr>
            </w:pPr>
            <w:r w:rsidRPr="00400678">
              <w:rPr>
                <w:b/>
                <w:bCs/>
                <w:lang w:val="en-US"/>
              </w:rPr>
              <w:t>AMBER</w:t>
            </w:r>
          </w:p>
        </w:tc>
      </w:tr>
      <w:tr w:rsidR="00102290" w:rsidRPr="00B51BC4" w14:paraId="0CF7A3C1" w14:textId="77777777">
        <w:trPr>
          <w:gridAfter w:val="1"/>
          <w:wAfter w:w="12" w:type="dxa"/>
          <w:trHeight w:val="894"/>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5EDDCEE" w14:textId="77777777" w:rsidR="00102290" w:rsidRPr="000A0F45" w:rsidRDefault="00102290">
            <w:pPr>
              <w:spacing w:line="259" w:lineRule="auto"/>
            </w:pPr>
            <w:r w:rsidRPr="000A0F45">
              <w:t>Revenue costs for the projects increase and are higher than expected</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14191A4" w14:textId="77777777" w:rsidR="00102290" w:rsidRPr="000A0F45" w:rsidRDefault="00102290" w:rsidP="003E7BA1">
            <w:pPr>
              <w:pStyle w:val="ListParagraph"/>
              <w:numPr>
                <w:ilvl w:val="0"/>
                <w:numId w:val="16"/>
              </w:numPr>
              <w:spacing w:line="259" w:lineRule="auto"/>
              <w:ind w:left="460" w:hanging="460"/>
              <w:rPr>
                <w:lang w:val="en-US"/>
              </w:rPr>
            </w:pPr>
            <w:r w:rsidRPr="000A0F45">
              <w:rPr>
                <w:lang w:val="en-US"/>
              </w:rPr>
              <w:t xml:space="preserve">This relates to the Meanwhile Use project and as above the tender caps our costs in this area and it is the responsibility of the successful tenderer to cover any increase </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7B7D3217" w14:textId="77777777" w:rsidR="00102290" w:rsidRPr="00B51BC4" w:rsidRDefault="00102290">
            <w:pPr>
              <w:spacing w:line="259" w:lineRule="auto"/>
              <w:jc w:val="center"/>
              <w:rPr>
                <w:b/>
                <w:bCs/>
                <w:lang w:val="en-US"/>
              </w:rPr>
            </w:pPr>
            <w:r w:rsidRPr="00B51BC4">
              <w:rPr>
                <w:b/>
                <w:bCs/>
                <w:lang w:val="en-US"/>
              </w:rPr>
              <w:t>GREEN</w:t>
            </w:r>
          </w:p>
        </w:tc>
      </w:tr>
      <w:tr w:rsidR="00102290" w:rsidRPr="0073550E" w14:paraId="1775BC13" w14:textId="77777777">
        <w:trPr>
          <w:gridAfter w:val="1"/>
          <w:wAfter w:w="12" w:type="dxa"/>
          <w:trHeight w:val="894"/>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51DF49" w14:textId="77777777" w:rsidR="00102290" w:rsidRPr="000A0F45" w:rsidRDefault="00102290">
            <w:pPr>
              <w:spacing w:line="259" w:lineRule="auto"/>
            </w:pPr>
            <w:r w:rsidRPr="000A0F45">
              <w:t xml:space="preserve">Increased operator costs </w:t>
            </w:r>
            <w:proofErr w:type="gramStart"/>
            <w:r w:rsidRPr="000A0F45">
              <w:t>and also</w:t>
            </w:r>
            <w:proofErr w:type="gramEnd"/>
            <w:r w:rsidRPr="000A0F45">
              <w:t xml:space="preserve"> decreasing demand and footfall reduce the attractiveness of the project for potential operators leading to low take-up of the project offer and/or to the Council reducing or subsidising operator costs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EFA187" w14:textId="77777777" w:rsidR="00102290" w:rsidRPr="000A0F45" w:rsidRDefault="00102290" w:rsidP="003E7BA1">
            <w:pPr>
              <w:pStyle w:val="ListParagraph"/>
              <w:numPr>
                <w:ilvl w:val="0"/>
                <w:numId w:val="16"/>
              </w:numPr>
              <w:spacing w:line="259" w:lineRule="auto"/>
              <w:ind w:left="460" w:hanging="460"/>
              <w:rPr>
                <w:lang w:val="en-US"/>
              </w:rPr>
            </w:pPr>
            <w:r w:rsidRPr="000A0F45">
              <w:rPr>
                <w:lang w:val="en-US"/>
              </w:rPr>
              <w:t xml:space="preserve">Further to the tender for the Meanwhile Use project we would not </w:t>
            </w:r>
            <w:proofErr w:type="spellStart"/>
            <w:r w:rsidRPr="000A0F45">
              <w:rPr>
                <w:lang w:val="en-US"/>
              </w:rPr>
              <w:t>subsidise</w:t>
            </w:r>
            <w:proofErr w:type="spellEnd"/>
            <w:r w:rsidRPr="000A0F45">
              <w:rPr>
                <w:lang w:val="en-US"/>
              </w:rPr>
              <w:t xml:space="preserve"> operator costs as these costs are completely the responsibility of the successful tenderer </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72147FBF" w14:textId="77777777" w:rsidR="00102290" w:rsidRPr="0073550E" w:rsidRDefault="00102290">
            <w:pPr>
              <w:spacing w:line="259" w:lineRule="auto"/>
              <w:jc w:val="center"/>
              <w:rPr>
                <w:b/>
                <w:bCs/>
                <w:lang w:val="en-US"/>
              </w:rPr>
            </w:pPr>
            <w:r w:rsidRPr="0073550E">
              <w:rPr>
                <w:b/>
                <w:bCs/>
                <w:lang w:val="en-US"/>
              </w:rPr>
              <w:t>GREEN</w:t>
            </w:r>
          </w:p>
        </w:tc>
      </w:tr>
      <w:tr w:rsidR="00102290" w:rsidRPr="00F13101" w14:paraId="6BDA303C" w14:textId="77777777">
        <w:trPr>
          <w:gridAfter w:val="1"/>
          <w:wAfter w:w="12" w:type="dxa"/>
          <w:trHeight w:val="2983"/>
        </w:trPr>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D36B8E" w14:textId="61BFA2AF" w:rsidR="00102290" w:rsidRDefault="00102290" w:rsidP="002A77E5">
            <w:pPr>
              <w:spacing w:line="259" w:lineRule="auto"/>
            </w:pPr>
            <w:r>
              <w:lastRenderedPageBreak/>
              <w:t>Better and more deserving projects in Harrow Town Centre have not been selected to receive the FHSF funding</w:t>
            </w:r>
            <w:r w:rsidR="002A77E5">
              <w:t>.</w:t>
            </w:r>
          </w:p>
          <w:p w14:paraId="15D1F87C" w14:textId="77777777" w:rsidR="00102290" w:rsidRPr="00F943F0" w:rsidRDefault="00102290">
            <w:pPr>
              <w:jc w:val="right"/>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3674FB" w14:textId="77777777" w:rsidR="00102290" w:rsidRPr="00DD69F6" w:rsidRDefault="00102290" w:rsidP="003E7BA1">
            <w:pPr>
              <w:pStyle w:val="ListParagraph"/>
              <w:numPr>
                <w:ilvl w:val="0"/>
                <w:numId w:val="16"/>
              </w:numPr>
              <w:spacing w:line="259" w:lineRule="auto"/>
              <w:ind w:left="460" w:hanging="460"/>
              <w:rPr>
                <w:lang w:val="en-US"/>
              </w:rPr>
            </w:pPr>
            <w:r w:rsidRPr="19908547">
              <w:rPr>
                <w:lang w:val="en-US"/>
              </w:rPr>
              <w:t>Consultation was undertaken with key stakeholders to identify the projects for the funding, including members of the Harrow Business Improvement District (HA1 BID), noting that the FHSF has clear guidance on projects that are considered “out of scope”.</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4B32830C" w14:textId="77777777" w:rsidR="00102290" w:rsidRPr="00F13101" w:rsidRDefault="00102290">
            <w:pPr>
              <w:spacing w:line="259" w:lineRule="auto"/>
              <w:jc w:val="center"/>
              <w:rPr>
                <w:b/>
                <w:bCs/>
                <w:lang w:val="en-US"/>
              </w:rPr>
            </w:pPr>
            <w:r w:rsidRPr="00F13101">
              <w:rPr>
                <w:b/>
                <w:bCs/>
                <w:lang w:val="en-US"/>
              </w:rPr>
              <w:t>GREEN</w:t>
            </w:r>
          </w:p>
        </w:tc>
      </w:tr>
      <w:tr w:rsidR="00102290" w:rsidRPr="003F0FC7" w14:paraId="1D332A9C" w14:textId="77777777">
        <w:tc>
          <w:tcPr>
            <w:tcW w:w="3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795593" w14:textId="77777777" w:rsidR="00102290" w:rsidRPr="00514AFB" w:rsidRDefault="00102290">
            <w:pPr>
              <w:spacing w:line="259" w:lineRule="auto"/>
            </w:pPr>
            <w:r>
              <w:t xml:space="preserve">The Council does not fully comply with the terms and conditions of FHSF, for example </w:t>
            </w:r>
            <w:proofErr w:type="gramStart"/>
            <w:r>
              <w:t>in regard to</w:t>
            </w:r>
            <w:proofErr w:type="gramEnd"/>
            <w:r>
              <w:t xml:space="preserve"> the grant review and claims process, leading to funding being delayed, withheld or ceasing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D4B1E8" w14:textId="77777777" w:rsidR="00102290" w:rsidRPr="00713B50" w:rsidRDefault="00102290" w:rsidP="003E7BA1">
            <w:pPr>
              <w:pStyle w:val="ListParagraph"/>
              <w:numPr>
                <w:ilvl w:val="0"/>
                <w:numId w:val="16"/>
              </w:numPr>
              <w:spacing w:line="259" w:lineRule="auto"/>
              <w:ind w:left="460" w:hanging="460"/>
              <w:rPr>
                <w:lang w:val="en-US"/>
              </w:rPr>
            </w:pPr>
            <w:r w:rsidRPr="19908547">
              <w:rPr>
                <w:lang w:val="en-US"/>
              </w:rPr>
              <w:t xml:space="preserve">A </w:t>
            </w:r>
            <w:proofErr w:type="spellStart"/>
            <w:r w:rsidRPr="19908547">
              <w:rPr>
                <w:lang w:val="en-US"/>
              </w:rPr>
              <w:t>Programme</w:t>
            </w:r>
            <w:proofErr w:type="spellEnd"/>
            <w:r w:rsidRPr="19908547">
              <w:rPr>
                <w:lang w:val="en-US"/>
              </w:rPr>
              <w:t xml:space="preserve"> Manager oversee</w:t>
            </w:r>
            <w:r>
              <w:rPr>
                <w:lang w:val="en-US"/>
              </w:rPr>
              <w:t>s</w:t>
            </w:r>
            <w:r w:rsidRPr="19908547">
              <w:rPr>
                <w:lang w:val="en-US"/>
              </w:rPr>
              <w:t xml:space="preserve"> this process including stringent internal financial management processes and regime by the finance directorate </w:t>
            </w:r>
          </w:p>
          <w:p w14:paraId="0BB9F264" w14:textId="77777777" w:rsidR="00102290" w:rsidRPr="00514AFB" w:rsidRDefault="00102290" w:rsidP="003E7BA1">
            <w:pPr>
              <w:pStyle w:val="ListParagraph"/>
              <w:numPr>
                <w:ilvl w:val="0"/>
                <w:numId w:val="16"/>
              </w:numPr>
              <w:spacing w:line="259" w:lineRule="auto"/>
              <w:ind w:left="460" w:hanging="460"/>
              <w:rPr>
                <w:lang w:val="en-US"/>
              </w:rPr>
            </w:pPr>
            <w:r w:rsidRPr="19908547">
              <w:rPr>
                <w:lang w:val="en-US"/>
              </w:rPr>
              <w:t xml:space="preserve">Any issues would be escalated to Director-level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7794A963" w14:textId="77777777" w:rsidR="00102290" w:rsidRPr="003F0FC7" w:rsidRDefault="00102290">
            <w:pPr>
              <w:spacing w:line="259" w:lineRule="auto"/>
              <w:jc w:val="center"/>
              <w:rPr>
                <w:lang w:val="en-US"/>
              </w:rPr>
            </w:pPr>
            <w:r w:rsidRPr="001315B2">
              <w:rPr>
                <w:b/>
                <w:bCs/>
                <w:lang w:val="en-US"/>
              </w:rPr>
              <w:t>GREEN</w:t>
            </w:r>
          </w:p>
        </w:tc>
      </w:tr>
      <w:bookmarkEnd w:id="1"/>
      <w:bookmarkEnd w:id="2"/>
      <w:bookmarkEnd w:id="3"/>
    </w:tbl>
    <w:p w14:paraId="4687268D" w14:textId="77777777" w:rsidR="00D12F61" w:rsidRDefault="00D12F61" w:rsidP="19908547">
      <w:pPr>
        <w:spacing w:line="259" w:lineRule="auto"/>
      </w:pPr>
    </w:p>
    <w:p w14:paraId="0249BBDB" w14:textId="075AEEC8" w:rsidR="002A3FEF" w:rsidRPr="00D30418" w:rsidRDefault="2BE7997A" w:rsidP="19908547">
      <w:pPr>
        <w:spacing w:line="259" w:lineRule="auto"/>
        <w:rPr>
          <w:b/>
          <w:bCs/>
        </w:rPr>
      </w:pPr>
      <w:r w:rsidRPr="159CED43">
        <w:rPr>
          <w:b/>
          <w:bCs/>
        </w:rPr>
        <w:t>Procurement Implications</w:t>
      </w:r>
    </w:p>
    <w:p w14:paraId="6C611FA6" w14:textId="6665E2DC" w:rsidR="3867FEFD" w:rsidRPr="00165365" w:rsidRDefault="3867FEFD" w:rsidP="0A1C6029">
      <w:pPr>
        <w:spacing w:line="259" w:lineRule="auto"/>
      </w:pPr>
      <w:r w:rsidRPr="00165365">
        <w:t xml:space="preserve">Each individual project will be </w:t>
      </w:r>
      <w:r w:rsidR="607E2A7E" w:rsidRPr="00165365">
        <w:t>procured in compliance with the</w:t>
      </w:r>
      <w:r w:rsidR="005B7AAE">
        <w:t xml:space="preserve"> </w:t>
      </w:r>
      <w:r w:rsidR="005B7AAE" w:rsidRPr="00131032">
        <w:t>Council</w:t>
      </w:r>
      <w:r w:rsidR="00084BD7">
        <w:t>’</w:t>
      </w:r>
      <w:r w:rsidR="005B7AAE" w:rsidRPr="00131032">
        <w:t>s Contract Procedure Rules</w:t>
      </w:r>
      <w:r w:rsidR="00D84F5C">
        <w:t xml:space="preserve"> and the </w:t>
      </w:r>
      <w:r w:rsidR="607E2A7E" w:rsidRPr="00165365">
        <w:t xml:space="preserve">Public </w:t>
      </w:r>
      <w:r w:rsidR="501F0C2D">
        <w:t>Contract</w:t>
      </w:r>
      <w:r w:rsidR="2E3360E7">
        <w:t>s</w:t>
      </w:r>
      <w:r w:rsidR="607E2A7E" w:rsidRPr="00165365">
        <w:t xml:space="preserve"> Regulations 2015 </w:t>
      </w:r>
      <w:r w:rsidR="38C1C16E" w:rsidRPr="00165365">
        <w:t>in consul</w:t>
      </w:r>
      <w:r w:rsidR="2CFCF8EA" w:rsidRPr="00165365">
        <w:t>t</w:t>
      </w:r>
      <w:r w:rsidR="38C1C16E" w:rsidRPr="00165365">
        <w:t>ation with the Portfolio Holde</w:t>
      </w:r>
      <w:r w:rsidR="513C0577" w:rsidRPr="00165365">
        <w:t>r</w:t>
      </w:r>
      <w:r w:rsidR="38C1C16E" w:rsidRPr="00165365">
        <w:t xml:space="preserve">s </w:t>
      </w:r>
      <w:r w:rsidR="38C1C16E">
        <w:t>for Business, Employment and Property, Environment and Community Safety and Finance and Human Resources</w:t>
      </w:r>
      <w:r w:rsidR="607E2A7E" w:rsidRPr="00165365">
        <w:t xml:space="preserve">. </w:t>
      </w:r>
    </w:p>
    <w:p w14:paraId="5A3A66A7" w14:textId="08F44C85" w:rsidR="0A1C6029" w:rsidRPr="00165365" w:rsidRDefault="0A1C6029" w:rsidP="0A1C6029">
      <w:pPr>
        <w:spacing w:line="259" w:lineRule="auto"/>
      </w:pPr>
    </w:p>
    <w:p w14:paraId="7B23E0CE" w14:textId="43ED097D" w:rsidR="0A1C6029" w:rsidRDefault="76C969CB" w:rsidP="0A1C6029">
      <w:pPr>
        <w:spacing w:line="259" w:lineRule="auto"/>
      </w:pPr>
      <w:r>
        <w:t xml:space="preserve">This report seeks authority to </w:t>
      </w:r>
      <w:r w:rsidR="00D2485B">
        <w:t>d</w:t>
      </w:r>
      <w:r w:rsidR="00D2485B" w:rsidRPr="00FE2515">
        <w:t>elegat</w:t>
      </w:r>
      <w:r w:rsidR="00D2485B">
        <w:t xml:space="preserve">e </w:t>
      </w:r>
      <w:r w:rsidR="00D2485B" w:rsidRPr="00FE2515">
        <w:t>authority for the C</w:t>
      </w:r>
      <w:r w:rsidR="00D2485B">
        <w:t xml:space="preserve">orporate </w:t>
      </w:r>
      <w:r w:rsidR="00D2485B" w:rsidRPr="00FE2515">
        <w:t>D</w:t>
      </w:r>
      <w:r w:rsidR="00D2485B">
        <w:t>irector of Place</w:t>
      </w:r>
      <w:r w:rsidR="00D2485B" w:rsidRPr="00FE2515">
        <w:t xml:space="preserve"> in consultation with the Director of Finance and the respective </w:t>
      </w:r>
      <w:r w:rsidR="00D2485B" w:rsidRPr="00D2485B">
        <w:rPr>
          <w:rFonts w:cs="Arial"/>
        </w:rPr>
        <w:t>Portfolio Holder for Business, Employment &amp; Property, Portfolio Holder for Environment and Community Safety, Portfolio Holder Finance and Human Resources</w:t>
      </w:r>
      <w:r w:rsidR="00D2485B" w:rsidRPr="00FE2515">
        <w:t xml:space="preserve"> to approve the tender pack</w:t>
      </w:r>
      <w:r w:rsidR="00D2485B">
        <w:t>s</w:t>
      </w:r>
      <w:r w:rsidR="00D2485B" w:rsidRPr="00FE2515">
        <w:t xml:space="preserve"> at a future date</w:t>
      </w:r>
      <w:r w:rsidR="21FD0589">
        <w:t xml:space="preserve">, and to </w:t>
      </w:r>
      <w:proofErr w:type="gramStart"/>
      <w:r w:rsidR="21FD0589">
        <w:t>enter into</w:t>
      </w:r>
      <w:proofErr w:type="gramEnd"/>
      <w:r w:rsidR="21FD0589">
        <w:t xml:space="preserve"> contracts following a compliant procurement process.</w:t>
      </w:r>
    </w:p>
    <w:p w14:paraId="0E0D674B" w14:textId="77777777" w:rsidR="00E3047D" w:rsidRDefault="00E3047D" w:rsidP="0A1C6029">
      <w:pPr>
        <w:spacing w:line="259" w:lineRule="auto"/>
        <w:rPr>
          <w:b/>
          <w:bCs/>
        </w:rPr>
      </w:pPr>
    </w:p>
    <w:p w14:paraId="5F0738FC" w14:textId="0E390D1A" w:rsidR="009C33FA" w:rsidRDefault="00573A87" w:rsidP="19908547">
      <w:pPr>
        <w:spacing w:line="259" w:lineRule="auto"/>
      </w:pPr>
      <w:r>
        <w:t>The</w:t>
      </w:r>
      <w:r w:rsidR="00F37340">
        <w:t xml:space="preserve"> proposed projects will require </w:t>
      </w:r>
      <w:r>
        <w:t xml:space="preserve">procurement as follows: </w:t>
      </w:r>
    </w:p>
    <w:tbl>
      <w:tblPr>
        <w:tblStyle w:val="TableGrid"/>
        <w:tblW w:w="9378" w:type="dxa"/>
        <w:tblLayout w:type="fixed"/>
        <w:tblLook w:val="04A0" w:firstRow="1" w:lastRow="0" w:firstColumn="1" w:lastColumn="0" w:noHBand="0" w:noVBand="1"/>
      </w:tblPr>
      <w:tblGrid>
        <w:gridCol w:w="1485"/>
        <w:gridCol w:w="2763"/>
        <w:gridCol w:w="1860"/>
        <w:gridCol w:w="1680"/>
        <w:gridCol w:w="1590"/>
      </w:tblGrid>
      <w:tr w:rsidR="00A119A7" w14:paraId="3DC44183" w14:textId="4CE42F11" w:rsidTr="009527E1">
        <w:trPr>
          <w:trHeight w:val="885"/>
        </w:trPr>
        <w:tc>
          <w:tcPr>
            <w:tcW w:w="1485" w:type="dxa"/>
          </w:tcPr>
          <w:p w14:paraId="51218988" w14:textId="77777777" w:rsidR="00A119A7" w:rsidRPr="00D749A6" w:rsidRDefault="00A119A7" w:rsidP="19908547">
            <w:pPr>
              <w:spacing w:line="259" w:lineRule="auto"/>
              <w:rPr>
                <w:b/>
                <w:bCs/>
              </w:rPr>
            </w:pPr>
            <w:r w:rsidRPr="00D749A6">
              <w:rPr>
                <w:b/>
                <w:bCs/>
              </w:rPr>
              <w:t>Project Name</w:t>
            </w:r>
          </w:p>
        </w:tc>
        <w:tc>
          <w:tcPr>
            <w:tcW w:w="2763" w:type="dxa"/>
          </w:tcPr>
          <w:p w14:paraId="0EA60A84" w14:textId="77777777" w:rsidR="00A119A7" w:rsidRPr="00D749A6" w:rsidRDefault="00A119A7" w:rsidP="19908547">
            <w:pPr>
              <w:spacing w:line="259" w:lineRule="auto"/>
              <w:rPr>
                <w:b/>
                <w:bCs/>
              </w:rPr>
            </w:pPr>
            <w:r w:rsidRPr="00D749A6">
              <w:rPr>
                <w:b/>
                <w:bCs/>
              </w:rPr>
              <w:t>Project Description</w:t>
            </w:r>
          </w:p>
        </w:tc>
        <w:tc>
          <w:tcPr>
            <w:tcW w:w="1860" w:type="dxa"/>
          </w:tcPr>
          <w:p w14:paraId="5208EC5C" w14:textId="77777777" w:rsidR="00A119A7" w:rsidRPr="00D749A6" w:rsidRDefault="00A119A7" w:rsidP="19908547">
            <w:pPr>
              <w:spacing w:line="259" w:lineRule="auto"/>
              <w:rPr>
                <w:b/>
                <w:bCs/>
              </w:rPr>
            </w:pPr>
            <w:r w:rsidRPr="00D749A6">
              <w:rPr>
                <w:b/>
                <w:bCs/>
              </w:rPr>
              <w:t>Procurement Approach</w:t>
            </w:r>
          </w:p>
        </w:tc>
        <w:tc>
          <w:tcPr>
            <w:tcW w:w="1680" w:type="dxa"/>
          </w:tcPr>
          <w:p w14:paraId="7B671CAE" w14:textId="77777777" w:rsidR="00A119A7" w:rsidRPr="00D749A6" w:rsidRDefault="00A119A7" w:rsidP="19908547">
            <w:pPr>
              <w:spacing w:line="259" w:lineRule="auto"/>
              <w:rPr>
                <w:b/>
                <w:bCs/>
              </w:rPr>
            </w:pPr>
            <w:r w:rsidRPr="00D749A6">
              <w:rPr>
                <w:b/>
                <w:bCs/>
              </w:rPr>
              <w:t>Lead</w:t>
            </w:r>
          </w:p>
        </w:tc>
        <w:tc>
          <w:tcPr>
            <w:tcW w:w="1590" w:type="dxa"/>
          </w:tcPr>
          <w:p w14:paraId="68EE6BD3" w14:textId="27985A6C" w:rsidR="00A119A7" w:rsidRPr="00D749A6" w:rsidRDefault="00A119A7" w:rsidP="19908547">
            <w:pPr>
              <w:spacing w:line="259" w:lineRule="auto"/>
              <w:rPr>
                <w:b/>
                <w:bCs/>
              </w:rPr>
            </w:pPr>
            <w:r>
              <w:rPr>
                <w:b/>
                <w:bCs/>
              </w:rPr>
              <w:t>Cabinet approval required</w:t>
            </w:r>
          </w:p>
        </w:tc>
      </w:tr>
      <w:tr w:rsidR="00A119A7" w14:paraId="13232045" w14:textId="52000D8B" w:rsidTr="009527E1">
        <w:trPr>
          <w:trHeight w:val="300"/>
        </w:trPr>
        <w:tc>
          <w:tcPr>
            <w:tcW w:w="1485" w:type="dxa"/>
          </w:tcPr>
          <w:p w14:paraId="2D1213A3" w14:textId="77777777" w:rsidR="00A119A7" w:rsidRDefault="00A119A7" w:rsidP="19908547">
            <w:pPr>
              <w:spacing w:line="259" w:lineRule="auto"/>
            </w:pPr>
            <w:r>
              <w:t>Public Realm</w:t>
            </w:r>
          </w:p>
        </w:tc>
        <w:tc>
          <w:tcPr>
            <w:tcW w:w="2763" w:type="dxa"/>
          </w:tcPr>
          <w:p w14:paraId="7EB6D42B" w14:textId="0FEFB4BB" w:rsidR="00B11ABE" w:rsidRDefault="00A119A7" w:rsidP="00A119A7">
            <w:pPr>
              <w:spacing w:line="259" w:lineRule="auto"/>
            </w:pPr>
            <w:r>
              <w:t xml:space="preserve">Investment in public realm to encourage movement of pedestrians along </w:t>
            </w:r>
            <w:r>
              <w:lastRenderedPageBreak/>
              <w:t xml:space="preserve">underused parts of the town centre; and improving town centre severance, </w:t>
            </w:r>
            <w:r w:rsidR="006A6543">
              <w:t>including Clarendon</w:t>
            </w:r>
            <w:r>
              <w:t xml:space="preserve"> Road, College Road. </w:t>
            </w:r>
          </w:p>
          <w:p w14:paraId="29880DE9" w14:textId="4B43E63E" w:rsidR="00A119A7" w:rsidRDefault="00A119A7" w:rsidP="00A119A7">
            <w:pPr>
              <w:spacing w:line="259" w:lineRule="auto"/>
            </w:pPr>
          </w:p>
        </w:tc>
        <w:tc>
          <w:tcPr>
            <w:tcW w:w="1860" w:type="dxa"/>
          </w:tcPr>
          <w:p w14:paraId="330AE55A" w14:textId="77777777" w:rsidR="00A119A7" w:rsidRDefault="00A119A7" w:rsidP="19908547">
            <w:pPr>
              <w:spacing w:line="259" w:lineRule="auto"/>
            </w:pPr>
            <w:r>
              <w:lastRenderedPageBreak/>
              <w:t>Framework</w:t>
            </w:r>
          </w:p>
        </w:tc>
        <w:tc>
          <w:tcPr>
            <w:tcW w:w="1680" w:type="dxa"/>
          </w:tcPr>
          <w:p w14:paraId="527950F1" w14:textId="77777777" w:rsidR="00A119A7" w:rsidRDefault="00A119A7" w:rsidP="19908547">
            <w:pPr>
              <w:spacing w:line="259" w:lineRule="auto"/>
            </w:pPr>
            <w:r>
              <w:t>Transport Highways Asset Management</w:t>
            </w:r>
          </w:p>
        </w:tc>
        <w:tc>
          <w:tcPr>
            <w:tcW w:w="1590" w:type="dxa"/>
          </w:tcPr>
          <w:p w14:paraId="67147199" w14:textId="2931E337" w:rsidR="00A119A7" w:rsidRDefault="00A119A7" w:rsidP="00A119A7">
            <w:pPr>
              <w:spacing w:line="259" w:lineRule="auto"/>
            </w:pPr>
            <w:r>
              <w:t xml:space="preserve">Cabinet to approve the procurement strategy and </w:t>
            </w:r>
            <w:r>
              <w:lastRenderedPageBreak/>
              <w:t>associated Invitation to Tender documents</w:t>
            </w:r>
          </w:p>
        </w:tc>
      </w:tr>
      <w:tr w:rsidR="004D1051" w14:paraId="393E5BA1" w14:textId="42075C0F" w:rsidTr="009527E1">
        <w:trPr>
          <w:trHeight w:val="300"/>
        </w:trPr>
        <w:tc>
          <w:tcPr>
            <w:tcW w:w="1485" w:type="dxa"/>
            <w:vMerge w:val="restart"/>
          </w:tcPr>
          <w:p w14:paraId="4599AE10" w14:textId="77777777" w:rsidR="004D1051" w:rsidRDefault="004D1051" w:rsidP="19908547">
            <w:pPr>
              <w:spacing w:line="259" w:lineRule="auto"/>
            </w:pPr>
            <w:r>
              <w:lastRenderedPageBreak/>
              <w:t>Meanwhile Use</w:t>
            </w:r>
          </w:p>
        </w:tc>
        <w:tc>
          <w:tcPr>
            <w:tcW w:w="2763" w:type="dxa"/>
          </w:tcPr>
          <w:p w14:paraId="030AFF07" w14:textId="77777777" w:rsidR="004D1051" w:rsidRDefault="004D1051" w:rsidP="19908547">
            <w:pPr>
              <w:spacing w:line="259" w:lineRule="auto"/>
            </w:pPr>
            <w:r>
              <w:t>The Council wishes to appoint a combined Design Team and Operator to develop a business case, design concept and operation strategy for meanwhile use in the Greenhill Way Car Park.</w:t>
            </w:r>
          </w:p>
          <w:p w14:paraId="33B78217" w14:textId="4E7D5907" w:rsidR="004D1051" w:rsidRDefault="004D1051" w:rsidP="19908547">
            <w:pPr>
              <w:spacing w:line="259" w:lineRule="auto"/>
            </w:pPr>
          </w:p>
        </w:tc>
        <w:tc>
          <w:tcPr>
            <w:tcW w:w="1860" w:type="dxa"/>
          </w:tcPr>
          <w:p w14:paraId="6EFDE1D8" w14:textId="77777777" w:rsidR="004D1051" w:rsidRDefault="004D1051" w:rsidP="19908547">
            <w:pPr>
              <w:spacing w:line="259" w:lineRule="auto"/>
            </w:pPr>
            <w:r>
              <w:t>Framework agreement</w:t>
            </w:r>
          </w:p>
        </w:tc>
        <w:tc>
          <w:tcPr>
            <w:tcW w:w="1680" w:type="dxa"/>
          </w:tcPr>
          <w:p w14:paraId="7A8E1EBE" w14:textId="414E314B" w:rsidR="004D1051" w:rsidRDefault="004D1051" w:rsidP="19908547">
            <w:pPr>
              <w:spacing w:line="259" w:lineRule="auto"/>
            </w:pPr>
            <w:r>
              <w:t>Regeneration/Corporate Estates</w:t>
            </w:r>
          </w:p>
        </w:tc>
        <w:tc>
          <w:tcPr>
            <w:tcW w:w="1590" w:type="dxa"/>
          </w:tcPr>
          <w:p w14:paraId="2F638776" w14:textId="77777777" w:rsidR="004D1051" w:rsidRDefault="004D1051" w:rsidP="19908547">
            <w:pPr>
              <w:spacing w:line="259" w:lineRule="auto"/>
            </w:pPr>
          </w:p>
        </w:tc>
      </w:tr>
      <w:tr w:rsidR="004D1051" w14:paraId="040C8B68" w14:textId="77777777" w:rsidTr="009527E1">
        <w:trPr>
          <w:trHeight w:val="300"/>
        </w:trPr>
        <w:tc>
          <w:tcPr>
            <w:tcW w:w="1485" w:type="dxa"/>
            <w:vMerge/>
          </w:tcPr>
          <w:p w14:paraId="282CCD79" w14:textId="77777777" w:rsidR="004D1051" w:rsidRDefault="004D1051"/>
        </w:tc>
        <w:tc>
          <w:tcPr>
            <w:tcW w:w="2763" w:type="dxa"/>
          </w:tcPr>
          <w:p w14:paraId="67D2C6DE" w14:textId="77777777" w:rsidR="004D1051" w:rsidRDefault="004D1051">
            <w:r>
              <w:t xml:space="preserve">Construction of meanwhile space </w:t>
            </w:r>
          </w:p>
          <w:p w14:paraId="748F3CEF" w14:textId="77777777" w:rsidR="004D1051" w:rsidRDefault="004D1051"/>
          <w:p w14:paraId="59D3601D" w14:textId="324AE347" w:rsidR="004D1051" w:rsidRDefault="004D1051"/>
        </w:tc>
        <w:tc>
          <w:tcPr>
            <w:tcW w:w="1860" w:type="dxa"/>
          </w:tcPr>
          <w:p w14:paraId="1D1B2B7A" w14:textId="111BEF6B" w:rsidR="004D1051" w:rsidRDefault="004D1051" w:rsidP="0052667A">
            <w:pPr>
              <w:spacing w:line="259" w:lineRule="auto"/>
            </w:pPr>
            <w:r>
              <w:t>A further separate tender will be required to appoint</w:t>
            </w:r>
          </w:p>
        </w:tc>
        <w:tc>
          <w:tcPr>
            <w:tcW w:w="1680" w:type="dxa"/>
          </w:tcPr>
          <w:p w14:paraId="365FB339" w14:textId="77777777" w:rsidR="004D1051" w:rsidRDefault="004D1051"/>
        </w:tc>
        <w:tc>
          <w:tcPr>
            <w:tcW w:w="1590" w:type="dxa"/>
          </w:tcPr>
          <w:p w14:paraId="106B6BA0" w14:textId="12A66A3B" w:rsidR="004D1051" w:rsidRPr="00143D13" w:rsidRDefault="004D1051">
            <w:r w:rsidRPr="00AC7DD8">
              <w:t>Cabinet to approve the procurement strategy and associated Invitation to Tender documents</w:t>
            </w:r>
          </w:p>
        </w:tc>
      </w:tr>
      <w:tr w:rsidR="00CE49D0" w14:paraId="395B0975" w14:textId="7302893E" w:rsidTr="009527E1">
        <w:trPr>
          <w:trHeight w:val="1489"/>
        </w:trPr>
        <w:tc>
          <w:tcPr>
            <w:tcW w:w="1485" w:type="dxa"/>
          </w:tcPr>
          <w:p w14:paraId="696C2E87" w14:textId="77777777" w:rsidR="00CE49D0" w:rsidRDefault="00CE49D0" w:rsidP="19908547">
            <w:pPr>
              <w:spacing w:line="259" w:lineRule="auto"/>
            </w:pPr>
            <w:r>
              <w:t>Kiosks</w:t>
            </w:r>
          </w:p>
        </w:tc>
        <w:tc>
          <w:tcPr>
            <w:tcW w:w="2763" w:type="dxa"/>
          </w:tcPr>
          <w:p w14:paraId="449279A0" w14:textId="7D68F353" w:rsidR="00CE49D0" w:rsidRDefault="00CE49D0" w:rsidP="19908547">
            <w:pPr>
              <w:spacing w:line="259" w:lineRule="auto"/>
            </w:pPr>
            <w:r>
              <w:t>Design and construction of new kiosks for St Ann’s Road</w:t>
            </w:r>
          </w:p>
          <w:p w14:paraId="7641D2F9" w14:textId="0B97FDD5" w:rsidR="00CE49D0" w:rsidRDefault="00CE49D0" w:rsidP="19908547">
            <w:pPr>
              <w:spacing w:line="259" w:lineRule="auto"/>
            </w:pPr>
          </w:p>
        </w:tc>
        <w:tc>
          <w:tcPr>
            <w:tcW w:w="1860" w:type="dxa"/>
          </w:tcPr>
          <w:p w14:paraId="10985EAA" w14:textId="75B87F45" w:rsidR="00CE49D0" w:rsidRDefault="00CE49D0" w:rsidP="19908547">
            <w:pPr>
              <w:spacing w:line="259" w:lineRule="auto"/>
            </w:pPr>
            <w:r>
              <w:t xml:space="preserve">Tender </w:t>
            </w:r>
          </w:p>
        </w:tc>
        <w:tc>
          <w:tcPr>
            <w:tcW w:w="1680" w:type="dxa"/>
          </w:tcPr>
          <w:p w14:paraId="268437BD" w14:textId="08C5032A" w:rsidR="00CE49D0" w:rsidRDefault="00CE49D0" w:rsidP="19908547">
            <w:pPr>
              <w:spacing w:line="259" w:lineRule="auto"/>
            </w:pPr>
            <w:r>
              <w:t>Regeneration/Corporate Estates</w:t>
            </w:r>
          </w:p>
        </w:tc>
        <w:tc>
          <w:tcPr>
            <w:tcW w:w="1590" w:type="dxa"/>
          </w:tcPr>
          <w:p w14:paraId="4358101A" w14:textId="442CD34B" w:rsidR="00CE49D0" w:rsidRDefault="00CE49D0" w:rsidP="19908547">
            <w:pPr>
              <w:spacing w:line="259" w:lineRule="auto"/>
            </w:pPr>
          </w:p>
        </w:tc>
      </w:tr>
    </w:tbl>
    <w:p w14:paraId="42661A55" w14:textId="77777777" w:rsidR="00BD4094" w:rsidRDefault="00BD4094" w:rsidP="19908547">
      <w:pPr>
        <w:spacing w:line="259" w:lineRule="auto"/>
      </w:pPr>
    </w:p>
    <w:p w14:paraId="44413A6E" w14:textId="22CD8B4F" w:rsidR="00333FAA" w:rsidRPr="003B238C" w:rsidRDefault="00333FAA" w:rsidP="19908547">
      <w:pPr>
        <w:spacing w:line="259" w:lineRule="auto"/>
        <w:rPr>
          <w:b/>
          <w:bCs/>
        </w:rPr>
      </w:pPr>
      <w:r w:rsidRPr="003B238C">
        <w:rPr>
          <w:b/>
          <w:bCs/>
        </w:rPr>
        <w:t>Legal Implications</w:t>
      </w:r>
    </w:p>
    <w:p w14:paraId="1CCFA31F" w14:textId="47E51E3B" w:rsidR="005017EE" w:rsidRDefault="00DA0D26" w:rsidP="19908547">
      <w:pPr>
        <w:spacing w:line="259" w:lineRule="auto"/>
      </w:pPr>
      <w:r w:rsidRPr="00DA0D26">
        <w:t xml:space="preserve">The </w:t>
      </w:r>
      <w:r w:rsidR="00DD7265">
        <w:t>Department for Levelling U</w:t>
      </w:r>
      <w:r w:rsidR="00AD6AD8">
        <w:t>p,</w:t>
      </w:r>
      <w:r w:rsidR="00DD7265">
        <w:t xml:space="preserve"> Housing and Communities</w:t>
      </w:r>
      <w:r w:rsidR="004D7B5F">
        <w:t>’</w:t>
      </w:r>
      <w:r w:rsidR="00DD7265">
        <w:t xml:space="preserve"> Memorandum of Understanding </w:t>
      </w:r>
      <w:r w:rsidR="004D7B5F">
        <w:t xml:space="preserve">(MoU) </w:t>
      </w:r>
      <w:r w:rsidR="00DD7265">
        <w:t xml:space="preserve">will be </w:t>
      </w:r>
      <w:r w:rsidRPr="00DA0D26">
        <w:t>considered by HB Public Law</w:t>
      </w:r>
      <w:r w:rsidR="00AD6AD8">
        <w:t xml:space="preserve"> once issued to the council</w:t>
      </w:r>
      <w:r w:rsidRPr="00DA0D26">
        <w:t xml:space="preserve">. The main legal implications of signing the </w:t>
      </w:r>
      <w:r w:rsidR="00DD7265">
        <w:t>MoU</w:t>
      </w:r>
      <w:r w:rsidRPr="00DA0D26">
        <w:t xml:space="preserve"> highlighted in the report</w:t>
      </w:r>
      <w:r w:rsidR="00203BD1">
        <w:t xml:space="preserve"> are based on the existing MoU and from </w:t>
      </w:r>
      <w:r w:rsidR="004D7B5F">
        <w:t>guidance from DLUHC.</w:t>
      </w:r>
    </w:p>
    <w:p w14:paraId="2EEC7110" w14:textId="7A5C9598" w:rsidR="009B1227" w:rsidRDefault="009B1227" w:rsidP="19908547">
      <w:pPr>
        <w:spacing w:line="259" w:lineRule="auto"/>
      </w:pPr>
      <w:r>
        <w:t xml:space="preserve">The forms submitted </w:t>
      </w:r>
      <w:r w:rsidR="0071252F">
        <w:t xml:space="preserve">to DLUHC (see supporting </w:t>
      </w:r>
      <w:r w:rsidR="00F726BE">
        <w:t>documents</w:t>
      </w:r>
      <w:r w:rsidR="0071252F">
        <w:t>)</w:t>
      </w:r>
      <w:r w:rsidR="00F726BE">
        <w:t xml:space="preserve"> including Annex A -Fin</w:t>
      </w:r>
      <w:r w:rsidR="00A7098E">
        <w:t>an</w:t>
      </w:r>
      <w:r w:rsidR="00F726BE">
        <w:t>ce and Annex B - Outputs</w:t>
      </w:r>
      <w:r w:rsidR="0071252F">
        <w:t xml:space="preserve"> will form part of the MoU with </w:t>
      </w:r>
      <w:r w:rsidR="00F726BE">
        <w:t>DLUHC.</w:t>
      </w:r>
    </w:p>
    <w:p w14:paraId="5E814C58" w14:textId="50C0C5EA" w:rsidR="4E0CAF6A" w:rsidRDefault="4E0CAF6A" w:rsidP="4E0CAF6A">
      <w:pPr>
        <w:spacing w:line="259" w:lineRule="auto"/>
      </w:pPr>
    </w:p>
    <w:p w14:paraId="5BE76B76" w14:textId="619B3510" w:rsidR="27273798" w:rsidRDefault="27273798">
      <w:r w:rsidRPr="2323D29C">
        <w:rPr>
          <w:rFonts w:eastAsia="Arial" w:cs="Arial"/>
        </w:rPr>
        <w:t xml:space="preserve">The proposed projects will be procured in compliance with the Council’s Contract Procedure Rules. The Authorisation and Acceptance Thresholds Table states that </w:t>
      </w:r>
      <w:r w:rsidR="1CAD7103" w:rsidRPr="2323D29C">
        <w:rPr>
          <w:rFonts w:eastAsia="Arial" w:cs="Arial"/>
        </w:rPr>
        <w:t xml:space="preserve">authorisation </w:t>
      </w:r>
      <w:r w:rsidRPr="2323D29C">
        <w:rPr>
          <w:rFonts w:eastAsia="Arial" w:cs="Arial"/>
        </w:rPr>
        <w:t xml:space="preserve">for contracts with a value of £500k and above or where they relate to a </w:t>
      </w:r>
      <w:bookmarkStart w:id="4" w:name="_Int_bJVgdFkE"/>
      <w:proofErr w:type="gramStart"/>
      <w:r w:rsidRPr="2323D29C">
        <w:rPr>
          <w:rFonts w:eastAsia="Arial" w:cs="Arial"/>
        </w:rPr>
        <w:t>Key</w:t>
      </w:r>
      <w:bookmarkEnd w:id="4"/>
      <w:proofErr w:type="gramEnd"/>
      <w:r w:rsidRPr="2323D29C">
        <w:rPr>
          <w:rFonts w:eastAsia="Arial" w:cs="Arial"/>
        </w:rPr>
        <w:t xml:space="preserve"> </w:t>
      </w:r>
      <w:r w:rsidR="007B6FED" w:rsidRPr="2323D29C">
        <w:rPr>
          <w:rFonts w:eastAsia="Arial" w:cs="Arial"/>
        </w:rPr>
        <w:t>decision, must</w:t>
      </w:r>
      <w:r w:rsidRPr="2323D29C">
        <w:rPr>
          <w:rFonts w:eastAsia="Arial" w:cs="Arial"/>
        </w:rPr>
        <w:t xml:space="preserve"> be obtained by Cabinet.</w:t>
      </w:r>
    </w:p>
    <w:p w14:paraId="31F47DBF" w14:textId="3ADB8138" w:rsidR="27273798" w:rsidRDefault="27273798"/>
    <w:p w14:paraId="3A8B95C3" w14:textId="3DFEB7A9" w:rsidR="27273798" w:rsidRDefault="27273798">
      <w:r w:rsidRPr="2323D29C">
        <w:rPr>
          <w:rFonts w:eastAsia="Arial" w:cs="Arial"/>
        </w:rPr>
        <w:t xml:space="preserve">Furthermore, as the value of </w:t>
      </w:r>
      <w:r w:rsidR="3A11F911" w:rsidRPr="2323D29C">
        <w:rPr>
          <w:rFonts w:eastAsia="Arial" w:cs="Arial"/>
        </w:rPr>
        <w:t xml:space="preserve">some of the </w:t>
      </w:r>
      <w:r w:rsidRPr="2323D29C">
        <w:rPr>
          <w:rFonts w:eastAsia="Arial" w:cs="Arial"/>
        </w:rPr>
        <w:t xml:space="preserve">individual projects are likely to exceed the thresholds set out in the Public </w:t>
      </w:r>
      <w:r w:rsidR="6708811E" w:rsidRPr="2323D29C">
        <w:rPr>
          <w:rFonts w:eastAsia="Arial" w:cs="Arial"/>
        </w:rPr>
        <w:t>Contract</w:t>
      </w:r>
      <w:r w:rsidR="099ABA4A" w:rsidRPr="2323D29C">
        <w:rPr>
          <w:rFonts w:eastAsia="Arial" w:cs="Arial"/>
        </w:rPr>
        <w:t>s</w:t>
      </w:r>
      <w:r w:rsidRPr="2323D29C">
        <w:rPr>
          <w:rFonts w:eastAsia="Arial" w:cs="Arial"/>
        </w:rPr>
        <w:t xml:space="preserve"> Regulations 2015, either a formal tendering exercise will be </w:t>
      </w:r>
      <w:bookmarkStart w:id="5" w:name="_Int_Mvrp8M9S"/>
      <w:proofErr w:type="gramStart"/>
      <w:r w:rsidRPr="2323D29C">
        <w:rPr>
          <w:rFonts w:eastAsia="Arial" w:cs="Arial"/>
        </w:rPr>
        <w:t>sought</w:t>
      </w:r>
      <w:bookmarkEnd w:id="5"/>
      <w:proofErr w:type="gramEnd"/>
      <w:r w:rsidRPr="2323D29C">
        <w:rPr>
          <w:rFonts w:eastAsia="Arial" w:cs="Arial"/>
        </w:rPr>
        <w:t xml:space="preserve"> or a compliant framework will be used.</w:t>
      </w:r>
    </w:p>
    <w:p w14:paraId="64AB43F8" w14:textId="55C1B630" w:rsidR="4E0CAF6A" w:rsidRDefault="4E0CAF6A" w:rsidP="4E0CAF6A">
      <w:pPr>
        <w:spacing w:line="259" w:lineRule="auto"/>
      </w:pPr>
    </w:p>
    <w:p w14:paraId="11F2AC04" w14:textId="5F821795" w:rsidR="00333FAA" w:rsidRDefault="00333FAA" w:rsidP="19908547">
      <w:pPr>
        <w:spacing w:line="259" w:lineRule="auto"/>
        <w:rPr>
          <w:b/>
          <w:bCs/>
        </w:rPr>
      </w:pPr>
      <w:r w:rsidRPr="003B238C">
        <w:rPr>
          <w:b/>
          <w:bCs/>
        </w:rPr>
        <w:lastRenderedPageBreak/>
        <w:t>Financial Implications</w:t>
      </w:r>
    </w:p>
    <w:p w14:paraId="41A282FD" w14:textId="46FA78AB" w:rsidR="00E14724" w:rsidRDefault="00E14724" w:rsidP="19908547">
      <w:pPr>
        <w:spacing w:line="259" w:lineRule="auto"/>
      </w:pPr>
      <w:r>
        <w:t>The use of FHSF is subject to the approval of Project Adjustment Form by DLUHC. In the project adjustment request, a</w:t>
      </w:r>
      <w:r w:rsidR="003216FB">
        <w:t xml:space="preserve"> revised </w:t>
      </w:r>
      <w:r>
        <w:t>match funding of £1.135m</w:t>
      </w:r>
      <w:r w:rsidR="003216FB">
        <w:t xml:space="preserve"> from BCIL</w:t>
      </w:r>
      <w:r>
        <w:t xml:space="preserve"> is included.</w:t>
      </w:r>
    </w:p>
    <w:p w14:paraId="49A45466" w14:textId="7545ED66" w:rsidR="00E14724" w:rsidRDefault="00E14724" w:rsidP="19908547">
      <w:pPr>
        <w:spacing w:line="259" w:lineRule="auto"/>
      </w:pPr>
    </w:p>
    <w:p w14:paraId="5891BB18" w14:textId="397697CC" w:rsidR="00CD4FC4" w:rsidRDefault="00E14724" w:rsidP="19908547">
      <w:pPr>
        <w:spacing w:line="259" w:lineRule="auto"/>
      </w:pPr>
      <w:r>
        <w:t>In the original FHSF project, there was a match funding requirement of £1.76</w:t>
      </w:r>
      <w:r w:rsidR="00CD4FC4">
        <w:t>0</w:t>
      </w:r>
      <w:r>
        <w:t>m from BCIL</w:t>
      </w:r>
      <w:r w:rsidR="00CD4FC4">
        <w:t>. This is included in the Council’s approved Capital Programme.</w:t>
      </w:r>
    </w:p>
    <w:p w14:paraId="393A58D2" w14:textId="77777777" w:rsidR="00CD4FC4" w:rsidRDefault="00CD4FC4" w:rsidP="19908547">
      <w:pPr>
        <w:spacing w:line="259" w:lineRule="auto"/>
      </w:pPr>
    </w:p>
    <w:p w14:paraId="640353C7" w14:textId="560B122B" w:rsidR="00CD4FC4" w:rsidRDefault="007A509C" w:rsidP="19908547">
      <w:pPr>
        <w:spacing w:line="259" w:lineRule="auto"/>
      </w:pPr>
      <w:r>
        <w:t>Now that the</w:t>
      </w:r>
      <w:r w:rsidR="00CD4FC4">
        <w:t xml:space="preserve"> Project Adjustment Form </w:t>
      </w:r>
      <w:r w:rsidR="00565635">
        <w:t xml:space="preserve">has been </w:t>
      </w:r>
      <w:r w:rsidR="00CD4FC4">
        <w:t xml:space="preserve">approved, the BCIL match funding requirement would be £1.135m. This would release £0.625m of BCIL funding for other purposes. </w:t>
      </w:r>
    </w:p>
    <w:p w14:paraId="1751AC4B" w14:textId="7C9982FB" w:rsidR="2A141ABA" w:rsidRDefault="2A141ABA" w:rsidP="2A141ABA">
      <w:pPr>
        <w:spacing w:line="259" w:lineRule="auto"/>
      </w:pPr>
    </w:p>
    <w:p w14:paraId="4BB3A315" w14:textId="629EDB00" w:rsidR="388E2BC1" w:rsidRDefault="388E2BC1" w:rsidP="2A141ABA">
      <w:pPr>
        <w:spacing w:line="259" w:lineRule="auto"/>
      </w:pPr>
      <w:r>
        <w:t xml:space="preserve">Total funding award under FHSF </w:t>
      </w:r>
      <w:r w:rsidR="58AEC545">
        <w:t>was £7.44</w:t>
      </w:r>
      <w:r w:rsidR="239CA51D">
        <w:t>8</w:t>
      </w:r>
      <w:r w:rsidR="58AEC545">
        <w:t>m. After accounting for the spend in 2021/22 and 2022/23</w:t>
      </w:r>
      <w:r w:rsidR="0F615B18">
        <w:t xml:space="preserve"> of £264k, the remaining FHSF available for the new town centre project is £</w:t>
      </w:r>
      <w:r w:rsidR="3DEE8784">
        <w:t xml:space="preserve">7.184m. This is broadly in line with the funding request in the Project Adjustment Form.  </w:t>
      </w:r>
    </w:p>
    <w:p w14:paraId="27430F07" w14:textId="77777777" w:rsidR="006C0620" w:rsidRDefault="006C0620" w:rsidP="19908547">
      <w:pPr>
        <w:spacing w:line="259" w:lineRule="auto"/>
      </w:pPr>
    </w:p>
    <w:p w14:paraId="3CF306D3" w14:textId="68334DC8" w:rsidR="004D7B5F" w:rsidRDefault="00324DB2" w:rsidP="19908547">
      <w:pPr>
        <w:spacing w:line="259" w:lineRule="auto"/>
      </w:pPr>
      <w:r>
        <w:t xml:space="preserve">The revenue implications for each of the projects </w:t>
      </w:r>
      <w:r w:rsidR="00045DD6">
        <w:t xml:space="preserve">in the Project Adjustment Form </w:t>
      </w:r>
      <w:r>
        <w:t>have been considered</w:t>
      </w:r>
      <w:r w:rsidR="00C674B7">
        <w:t xml:space="preserve"> as </w:t>
      </w:r>
      <w:r w:rsidR="00C66067">
        <w:t>part</w:t>
      </w:r>
      <w:r w:rsidR="00C674B7">
        <w:t xml:space="preserve"> of the development process</w:t>
      </w:r>
      <w:r w:rsidR="00E557F1">
        <w:t>, and the delivery of these projects is not anticipated to create a revenue cost burden for the Council.</w:t>
      </w:r>
    </w:p>
    <w:p w14:paraId="7E91909C" w14:textId="01BF9148" w:rsidR="2A141ABA" w:rsidRDefault="2A141ABA" w:rsidP="2A141ABA">
      <w:pPr>
        <w:spacing w:line="259" w:lineRule="auto"/>
      </w:pPr>
    </w:p>
    <w:p w14:paraId="4114F279" w14:textId="542E17E2" w:rsidR="00C674B7" w:rsidRDefault="00C66067" w:rsidP="19908547">
      <w:pPr>
        <w:spacing w:line="259" w:lineRule="auto"/>
      </w:pPr>
      <w:r>
        <w:t xml:space="preserve">Public Realm: </w:t>
      </w:r>
      <w:r w:rsidR="00C674B7">
        <w:t xml:space="preserve">There are no additional revenue implications of the public realm works. </w:t>
      </w:r>
      <w:r w:rsidR="00942820">
        <w:t>As a result of the new capital investment, m</w:t>
      </w:r>
      <w:r>
        <w:t xml:space="preserve">aintenance costs will </w:t>
      </w:r>
      <w:r w:rsidR="00942820">
        <w:t>be reduced</w:t>
      </w:r>
      <w:r w:rsidR="00945013">
        <w:t>.</w:t>
      </w:r>
    </w:p>
    <w:p w14:paraId="16097DD9" w14:textId="57D11EB3" w:rsidR="00CE2DEA" w:rsidRDefault="00C66067" w:rsidP="00CE2DEA">
      <w:pPr>
        <w:spacing w:line="259" w:lineRule="auto"/>
      </w:pPr>
      <w:r>
        <w:t>Meanwhile</w:t>
      </w:r>
      <w:r w:rsidR="00E05D94">
        <w:t xml:space="preserve"> Space: The tender specification for the meanwhile space </w:t>
      </w:r>
      <w:r w:rsidR="00927E04">
        <w:t xml:space="preserve">requires the operator to be responsible for paying any ongoing </w:t>
      </w:r>
      <w:r w:rsidR="00CE2DEA">
        <w:t>revenue costs of the newly created space. No further funding will be provided by the Council for the running of the project.</w:t>
      </w:r>
    </w:p>
    <w:p w14:paraId="5DE23A4F" w14:textId="1F96FF95" w:rsidR="00486FE0" w:rsidRDefault="00486FE0" w:rsidP="19908547">
      <w:pPr>
        <w:spacing w:line="259" w:lineRule="auto"/>
      </w:pPr>
      <w:r>
        <w:t>Kiosks</w:t>
      </w:r>
      <w:r w:rsidR="00A95FAC">
        <w:t xml:space="preserve">: Any ongoing costs will be </w:t>
      </w:r>
      <w:r w:rsidR="006C7DE0">
        <w:t xml:space="preserve">either the responsibility of the new tenants or where it is the </w:t>
      </w:r>
      <w:r w:rsidR="00E25359">
        <w:t>responsibility</w:t>
      </w:r>
      <w:r w:rsidR="006C7DE0">
        <w:t xml:space="preserve"> of the council</w:t>
      </w:r>
      <w:r w:rsidR="00EB3495">
        <w:t>, covered by the rental income received from the tenants</w:t>
      </w:r>
      <w:r w:rsidR="006C7DE0">
        <w:t>. The installation of new infrastructu</w:t>
      </w:r>
      <w:r w:rsidR="00E25359">
        <w:t>re</w:t>
      </w:r>
      <w:r w:rsidR="006C7DE0">
        <w:t xml:space="preserve"> will allow the </w:t>
      </w:r>
      <w:r w:rsidR="00E25359">
        <w:t>tenants</w:t>
      </w:r>
      <w:r w:rsidR="006C7DE0">
        <w:t xml:space="preserve"> to be charged directly for </w:t>
      </w:r>
      <w:r w:rsidRPr="006C20C8">
        <w:t>power and water</w:t>
      </w:r>
      <w:r w:rsidR="00EB3495">
        <w:t xml:space="preserve"> that they use. </w:t>
      </w:r>
    </w:p>
    <w:p w14:paraId="260B54BD" w14:textId="09D9F70B" w:rsidR="00B50CDD" w:rsidRDefault="00B50CDD" w:rsidP="19908547">
      <w:pPr>
        <w:spacing w:line="259" w:lineRule="auto"/>
      </w:pPr>
    </w:p>
    <w:p w14:paraId="41D80CF8" w14:textId="77777777" w:rsidR="00333FAA" w:rsidRPr="00BB6133" w:rsidRDefault="00333FAA" w:rsidP="19908547">
      <w:pPr>
        <w:spacing w:line="259" w:lineRule="auto"/>
        <w:rPr>
          <w:b/>
          <w:bCs/>
        </w:rPr>
      </w:pPr>
      <w:r w:rsidRPr="00BB6133">
        <w:rPr>
          <w:b/>
          <w:bCs/>
        </w:rPr>
        <w:t>Equalities implications</w:t>
      </w:r>
      <w:r w:rsidR="001C7E35" w:rsidRPr="00BB6133">
        <w:rPr>
          <w:b/>
          <w:bCs/>
        </w:rPr>
        <w:t xml:space="preserve"> </w:t>
      </w:r>
      <w:r w:rsidRPr="00BB6133">
        <w:rPr>
          <w:b/>
          <w:bCs/>
        </w:rPr>
        <w:t>/</w:t>
      </w:r>
      <w:r w:rsidR="001C7E35" w:rsidRPr="00BB6133">
        <w:rPr>
          <w:b/>
          <w:bCs/>
        </w:rPr>
        <w:t xml:space="preserve"> </w:t>
      </w:r>
      <w:r w:rsidRPr="00BB6133">
        <w:rPr>
          <w:b/>
          <w:bCs/>
        </w:rPr>
        <w:t>Public Sector Equality Duty</w:t>
      </w:r>
    </w:p>
    <w:p w14:paraId="78F4BDA2" w14:textId="77777777" w:rsidR="00C342C2" w:rsidRDefault="00404D4D" w:rsidP="00C342C2">
      <w:pPr>
        <w:spacing w:line="259" w:lineRule="auto"/>
      </w:pPr>
      <w:r>
        <w:t>An Equalities Impact Assessment (</w:t>
      </w:r>
      <w:proofErr w:type="spellStart"/>
      <w:r>
        <w:t>EqIA</w:t>
      </w:r>
      <w:proofErr w:type="spellEnd"/>
      <w:r>
        <w:t>) has been undertaken for the proposals (see Appendix A)</w:t>
      </w:r>
      <w:r w:rsidR="00C342C2">
        <w:t xml:space="preserve">. </w:t>
      </w:r>
    </w:p>
    <w:p w14:paraId="6C98B518" w14:textId="46CD4437" w:rsidR="00570FB6" w:rsidRDefault="00C342C2" w:rsidP="00C342C2">
      <w:pPr>
        <w:spacing w:line="259" w:lineRule="auto"/>
      </w:pPr>
      <w:r>
        <w:t xml:space="preserve">In summary, the </w:t>
      </w:r>
      <w:proofErr w:type="spellStart"/>
      <w:r w:rsidR="00404D4D">
        <w:t>EqIA</w:t>
      </w:r>
      <w:proofErr w:type="spellEnd"/>
      <w:r w:rsidR="00404D4D">
        <w:t xml:space="preserve"> findings are</w:t>
      </w:r>
      <w:r w:rsidR="003A684D">
        <w:t>:</w:t>
      </w:r>
    </w:p>
    <w:p w14:paraId="4BBEBDF5" w14:textId="77777777" w:rsidR="00ED6C21" w:rsidRPr="00CB55C3" w:rsidRDefault="00ED6C21" w:rsidP="00C342C2">
      <w:pPr>
        <w:spacing w:line="259" w:lineRule="auto"/>
        <w:rPr>
          <w:rFonts w:cs="Arial"/>
          <w:szCs w:val="24"/>
        </w:rPr>
      </w:pPr>
    </w:p>
    <w:p w14:paraId="396853A1" w14:textId="77777777" w:rsidR="00570FB6" w:rsidRPr="00CB55C3" w:rsidRDefault="00570FB6" w:rsidP="00570FB6">
      <w:pPr>
        <w:pStyle w:val="ListParagraph"/>
        <w:numPr>
          <w:ilvl w:val="0"/>
          <w:numId w:val="9"/>
        </w:numPr>
        <w:contextualSpacing/>
        <w:rPr>
          <w:rFonts w:cs="Arial"/>
          <w:szCs w:val="24"/>
        </w:rPr>
      </w:pPr>
      <w:r w:rsidRPr="00CB55C3">
        <w:rPr>
          <w:rFonts w:cs="Arial"/>
          <w:szCs w:val="24"/>
          <w:lang w:eastAsia="en-GB"/>
        </w:rPr>
        <w:t>We do not anticipate that th</w:t>
      </w:r>
      <w:r>
        <w:rPr>
          <w:rFonts w:cs="Arial"/>
          <w:szCs w:val="24"/>
          <w:lang w:eastAsia="en-GB"/>
        </w:rPr>
        <w:t xml:space="preserve">ese </w:t>
      </w:r>
      <w:r w:rsidRPr="00CB55C3">
        <w:rPr>
          <w:rFonts w:cs="Arial"/>
          <w:szCs w:val="24"/>
        </w:rPr>
        <w:t>project</w:t>
      </w:r>
      <w:r>
        <w:rPr>
          <w:rFonts w:cs="Arial"/>
          <w:szCs w:val="24"/>
        </w:rPr>
        <w:t>s</w:t>
      </w:r>
      <w:r w:rsidRPr="00CB55C3">
        <w:rPr>
          <w:rFonts w:cs="Arial"/>
          <w:szCs w:val="24"/>
        </w:rPr>
        <w:t xml:space="preserve"> will have a negative impact on Harrow residents or result in any direct or indirect discrimination of any group that shares protected characteristics. </w:t>
      </w:r>
    </w:p>
    <w:p w14:paraId="725D0F57" w14:textId="4C9869C1" w:rsidR="00570FB6" w:rsidRPr="00D67EBB" w:rsidRDefault="00570FB6" w:rsidP="0015595A">
      <w:pPr>
        <w:pStyle w:val="ListParagraph"/>
        <w:numPr>
          <w:ilvl w:val="0"/>
          <w:numId w:val="9"/>
        </w:numPr>
        <w:contextualSpacing/>
        <w:rPr>
          <w:rFonts w:cs="Arial"/>
          <w:szCs w:val="24"/>
        </w:rPr>
      </w:pPr>
      <w:r w:rsidRPr="00D67EBB">
        <w:rPr>
          <w:rFonts w:cs="Arial"/>
          <w:szCs w:val="24"/>
        </w:rPr>
        <w:t>Outcomes includ</w:t>
      </w:r>
      <w:r w:rsidR="00D67EBB" w:rsidRPr="00D67EBB">
        <w:rPr>
          <w:rFonts w:cs="Arial"/>
          <w:szCs w:val="24"/>
        </w:rPr>
        <w:t xml:space="preserve">ing the </w:t>
      </w:r>
      <w:r w:rsidRPr="00D67EBB">
        <w:rPr>
          <w:rFonts w:cs="Arial"/>
          <w:szCs w:val="24"/>
        </w:rPr>
        <w:t xml:space="preserve">physical improvements to public </w:t>
      </w:r>
      <w:r w:rsidR="006A6543" w:rsidRPr="00D67EBB">
        <w:rPr>
          <w:rFonts w:cs="Arial"/>
          <w:szCs w:val="24"/>
        </w:rPr>
        <w:t>realm,</w:t>
      </w:r>
      <w:r w:rsidR="00D67EBB" w:rsidRPr="00D67EBB">
        <w:rPr>
          <w:rFonts w:cs="Arial"/>
          <w:szCs w:val="24"/>
        </w:rPr>
        <w:t xml:space="preserve"> including better paving, wayfinding, will </w:t>
      </w:r>
      <w:r w:rsidRPr="00D67EBB">
        <w:rPr>
          <w:rFonts w:cs="Arial"/>
          <w:szCs w:val="24"/>
        </w:rPr>
        <w:t>make the town more accessible</w:t>
      </w:r>
      <w:r w:rsidR="00D67EBB">
        <w:rPr>
          <w:rFonts w:cs="Arial"/>
          <w:szCs w:val="24"/>
        </w:rPr>
        <w:t>.</w:t>
      </w:r>
    </w:p>
    <w:p w14:paraId="77228439" w14:textId="75A72B11" w:rsidR="00570FB6" w:rsidRPr="00CB55C3" w:rsidRDefault="00570FB6" w:rsidP="00570FB6">
      <w:pPr>
        <w:pStyle w:val="ListParagraph"/>
        <w:numPr>
          <w:ilvl w:val="0"/>
          <w:numId w:val="9"/>
        </w:numPr>
        <w:contextualSpacing/>
        <w:rPr>
          <w:rFonts w:cs="Arial"/>
        </w:rPr>
      </w:pPr>
      <w:r w:rsidRPr="2323D29C">
        <w:rPr>
          <w:rFonts w:cs="Arial"/>
        </w:rPr>
        <w:t xml:space="preserve">Where appropriate, the public realm improvements will support the access needs of disabled people such as wheelchair users and those with visual impairment </w:t>
      </w:r>
      <w:bookmarkStart w:id="6" w:name="_Int_2PTOGZo1"/>
      <w:proofErr w:type="gramStart"/>
      <w:r w:rsidRPr="2323D29C">
        <w:rPr>
          <w:rFonts w:cs="Arial"/>
        </w:rPr>
        <w:t>e.g.</w:t>
      </w:r>
      <w:bookmarkEnd w:id="6"/>
      <w:proofErr w:type="gramEnd"/>
      <w:r w:rsidRPr="2323D29C">
        <w:rPr>
          <w:rFonts w:cs="Arial"/>
        </w:rPr>
        <w:t xml:space="preserve"> step free access. </w:t>
      </w:r>
    </w:p>
    <w:p w14:paraId="2ED5142D" w14:textId="77777777" w:rsidR="00AF6378" w:rsidRDefault="00AF6378" w:rsidP="19908547">
      <w:pPr>
        <w:spacing w:line="259" w:lineRule="auto"/>
      </w:pPr>
    </w:p>
    <w:p w14:paraId="735D81F2" w14:textId="4AD7B4BA" w:rsidR="00377569" w:rsidRPr="00BB6133" w:rsidRDefault="00377569" w:rsidP="19908547">
      <w:pPr>
        <w:spacing w:line="259" w:lineRule="auto"/>
        <w:rPr>
          <w:b/>
          <w:bCs/>
        </w:rPr>
      </w:pPr>
      <w:r w:rsidRPr="00BB6133">
        <w:rPr>
          <w:b/>
          <w:bCs/>
        </w:rPr>
        <w:t>Council Priorities</w:t>
      </w:r>
    </w:p>
    <w:p w14:paraId="2362615B" w14:textId="0AFAA9AF" w:rsidR="00BE016F" w:rsidRDefault="005C44C5" w:rsidP="003E4290">
      <w:pPr>
        <w:spacing w:line="259" w:lineRule="auto"/>
        <w:rPr>
          <w:rFonts w:ascii="ArialMT" w:hAnsi="ArialMT" w:cs="ArialMT"/>
          <w:szCs w:val="24"/>
          <w:lang w:eastAsia="en-GB"/>
        </w:rPr>
      </w:pPr>
      <w:r w:rsidRPr="005C44C5">
        <w:rPr>
          <w:szCs w:val="24"/>
        </w:rPr>
        <w:t>The pro</w:t>
      </w:r>
      <w:r>
        <w:rPr>
          <w:szCs w:val="24"/>
        </w:rPr>
        <w:t>jects ou</w:t>
      </w:r>
      <w:r w:rsidR="003E4290">
        <w:rPr>
          <w:szCs w:val="24"/>
        </w:rPr>
        <w:t xml:space="preserve">tlined in the report both </w:t>
      </w:r>
      <w:r w:rsidRPr="005C44C5">
        <w:rPr>
          <w:szCs w:val="24"/>
        </w:rPr>
        <w:t>fulfil the action under the “A Borough that is Clean and Safe” theme of the Corporate Plan to “Invest in the physical infrastructure of Harrow</w:t>
      </w:r>
      <w:r w:rsidR="00C57F75">
        <w:rPr>
          <w:szCs w:val="24"/>
        </w:rPr>
        <w:t>”</w:t>
      </w:r>
      <w:r w:rsidR="003E4290">
        <w:rPr>
          <w:szCs w:val="24"/>
        </w:rPr>
        <w:t xml:space="preserve"> and </w:t>
      </w:r>
      <w:r w:rsidR="00BE016F">
        <w:rPr>
          <w:rFonts w:cs="Arial"/>
          <w:szCs w:val="24"/>
          <w:lang w:eastAsia="en-GB"/>
        </w:rPr>
        <w:t>fulfil the</w:t>
      </w:r>
      <w:r w:rsidR="00C57F75">
        <w:rPr>
          <w:rFonts w:cs="Arial"/>
          <w:szCs w:val="24"/>
          <w:lang w:eastAsia="en-GB"/>
        </w:rPr>
        <w:t xml:space="preserve"> specific </w:t>
      </w:r>
      <w:r w:rsidR="00BE016F">
        <w:rPr>
          <w:rFonts w:cs="Arial"/>
          <w:szCs w:val="24"/>
          <w:lang w:eastAsia="en-GB"/>
        </w:rPr>
        <w:t xml:space="preserve">measure </w:t>
      </w:r>
      <w:r w:rsidR="00C57F75">
        <w:rPr>
          <w:rFonts w:cs="Arial"/>
          <w:szCs w:val="24"/>
          <w:lang w:eastAsia="en-GB"/>
        </w:rPr>
        <w:t xml:space="preserve">in the Corporate Plan </w:t>
      </w:r>
      <w:r w:rsidR="00BE016F">
        <w:rPr>
          <w:rFonts w:cs="Arial"/>
          <w:szCs w:val="24"/>
          <w:lang w:eastAsia="en-GB"/>
        </w:rPr>
        <w:t>“to s</w:t>
      </w:r>
      <w:r w:rsidR="00BE016F">
        <w:rPr>
          <w:rFonts w:ascii="ArialMT" w:hAnsi="ArialMT" w:cs="ArialMT"/>
          <w:szCs w:val="24"/>
          <w:lang w:eastAsia="en-GB"/>
        </w:rPr>
        <w:t>ecure investment through the Future High Street Funds”.</w:t>
      </w:r>
    </w:p>
    <w:p w14:paraId="2B3F4DBA" w14:textId="77777777" w:rsidR="007410F0" w:rsidRPr="003816DE" w:rsidRDefault="007410F0" w:rsidP="19908547">
      <w:pPr>
        <w:spacing w:line="259" w:lineRule="auto"/>
        <w:rPr>
          <w:b/>
          <w:bCs/>
        </w:rPr>
      </w:pPr>
    </w:p>
    <w:p w14:paraId="5514D939" w14:textId="4A049D74" w:rsidR="00333FAA" w:rsidRPr="00ED6C21" w:rsidRDefault="00333FAA" w:rsidP="19908547">
      <w:pPr>
        <w:spacing w:line="259" w:lineRule="auto"/>
        <w:rPr>
          <w:rFonts w:ascii="Arial Black" w:hAnsi="Arial Black"/>
          <w:sz w:val="32"/>
          <w:szCs w:val="24"/>
        </w:rPr>
      </w:pPr>
      <w:r w:rsidRPr="00ED6C21">
        <w:rPr>
          <w:rFonts w:ascii="Arial Black" w:hAnsi="Arial Black"/>
          <w:b/>
          <w:bCs/>
          <w:sz w:val="32"/>
          <w:szCs w:val="24"/>
        </w:rPr>
        <w:t>Section 3 - Statutory Officer Clearance</w:t>
      </w:r>
    </w:p>
    <w:p w14:paraId="1BDE5486" w14:textId="3695999C" w:rsidR="007D2000" w:rsidRDefault="007D2000" w:rsidP="19908547">
      <w:pPr>
        <w:keepNext/>
        <w:spacing w:line="259" w:lineRule="auto"/>
      </w:pPr>
    </w:p>
    <w:p w14:paraId="3B5D52F9" w14:textId="6A9D0BF0" w:rsidR="00A66326" w:rsidRPr="009D26F0" w:rsidRDefault="00A66326" w:rsidP="19908547">
      <w:pPr>
        <w:spacing w:line="259" w:lineRule="auto"/>
        <w:rPr>
          <w:b/>
          <w:bCs/>
        </w:rPr>
      </w:pPr>
      <w:r w:rsidRPr="009D26F0">
        <w:rPr>
          <w:b/>
          <w:bCs/>
        </w:rPr>
        <w:t xml:space="preserve">Statutory Officer: </w:t>
      </w:r>
      <w:r w:rsidR="000A4127">
        <w:rPr>
          <w:b/>
          <w:bCs/>
        </w:rPr>
        <w:t>Dawn Calvert</w:t>
      </w:r>
    </w:p>
    <w:p w14:paraId="202E8455" w14:textId="742481D9" w:rsidR="00A66326" w:rsidRPr="002548D1" w:rsidRDefault="00A66326" w:rsidP="19908547">
      <w:pPr>
        <w:spacing w:line="259" w:lineRule="auto"/>
      </w:pPr>
      <w:r>
        <w:t>Signed by the Chief Financial Officer</w:t>
      </w:r>
    </w:p>
    <w:p w14:paraId="555021EF" w14:textId="383940E2" w:rsidR="00A66326" w:rsidRPr="00E63347" w:rsidRDefault="00A66326" w:rsidP="19908547">
      <w:pPr>
        <w:spacing w:line="259" w:lineRule="auto"/>
        <w:rPr>
          <w:b/>
          <w:bCs/>
        </w:rPr>
      </w:pPr>
      <w:r w:rsidRPr="00E63347">
        <w:rPr>
          <w:b/>
          <w:bCs/>
        </w:rPr>
        <w:t xml:space="preserve">Date: </w:t>
      </w:r>
      <w:r w:rsidR="00ED6C21">
        <w:rPr>
          <w:b/>
          <w:bCs/>
        </w:rPr>
        <w:t>0</w:t>
      </w:r>
      <w:r w:rsidR="00DD1522">
        <w:rPr>
          <w:b/>
          <w:bCs/>
        </w:rPr>
        <w:t>5/</w:t>
      </w:r>
      <w:r w:rsidR="00ED6C21">
        <w:rPr>
          <w:b/>
          <w:bCs/>
        </w:rPr>
        <w:t>0</w:t>
      </w:r>
      <w:r w:rsidR="00DD1522">
        <w:rPr>
          <w:b/>
          <w:bCs/>
        </w:rPr>
        <w:t>6/</w:t>
      </w:r>
      <w:r w:rsidR="00ED6C21">
        <w:rPr>
          <w:b/>
          <w:bCs/>
        </w:rPr>
        <w:t>20</w:t>
      </w:r>
      <w:r w:rsidR="00DD1522">
        <w:rPr>
          <w:b/>
          <w:bCs/>
        </w:rPr>
        <w:t>23</w:t>
      </w:r>
    </w:p>
    <w:p w14:paraId="44E29542" w14:textId="77777777" w:rsidR="005A746C" w:rsidRDefault="005A746C" w:rsidP="19908547">
      <w:pPr>
        <w:spacing w:line="259" w:lineRule="auto"/>
      </w:pPr>
    </w:p>
    <w:p w14:paraId="7E329E85" w14:textId="0553CD5F" w:rsidR="00A66326" w:rsidRPr="005A746C" w:rsidRDefault="00A66326" w:rsidP="19908547">
      <w:pPr>
        <w:spacing w:line="259" w:lineRule="auto"/>
        <w:rPr>
          <w:b/>
          <w:bCs/>
        </w:rPr>
      </w:pPr>
      <w:r w:rsidRPr="4E0CAF6A">
        <w:rPr>
          <w:b/>
          <w:bCs/>
        </w:rPr>
        <w:t xml:space="preserve">Statutory Officer: </w:t>
      </w:r>
      <w:r w:rsidR="54825E74" w:rsidRPr="4E0CAF6A">
        <w:rPr>
          <w:b/>
          <w:bCs/>
        </w:rPr>
        <w:t>Patricia Davila</w:t>
      </w:r>
    </w:p>
    <w:p w14:paraId="527739EB" w14:textId="4EA62B59" w:rsidR="00A66326" w:rsidRDefault="00A66326" w:rsidP="4E0CAF6A">
      <w:pPr>
        <w:spacing w:line="259" w:lineRule="auto"/>
      </w:pPr>
      <w:r>
        <w:t>Signed on behalf of the Monitoring Officer</w:t>
      </w:r>
    </w:p>
    <w:p w14:paraId="1AC0D358" w14:textId="12E2D199" w:rsidR="00A66326" w:rsidRPr="00E63347" w:rsidRDefault="00A66326" w:rsidP="19908547">
      <w:pPr>
        <w:spacing w:line="259" w:lineRule="auto"/>
        <w:rPr>
          <w:b/>
          <w:bCs/>
        </w:rPr>
      </w:pPr>
      <w:r w:rsidRPr="4E0CAF6A">
        <w:rPr>
          <w:b/>
          <w:bCs/>
        </w:rPr>
        <w:t xml:space="preserve">Date: </w:t>
      </w:r>
      <w:r w:rsidR="007110BC">
        <w:rPr>
          <w:b/>
          <w:bCs/>
        </w:rPr>
        <w:t>31/05/</w:t>
      </w:r>
      <w:r w:rsidR="00ED6C21">
        <w:rPr>
          <w:b/>
          <w:bCs/>
        </w:rPr>
        <w:t>20</w:t>
      </w:r>
      <w:r w:rsidR="007110BC">
        <w:rPr>
          <w:b/>
          <w:bCs/>
        </w:rPr>
        <w:t>23</w:t>
      </w:r>
    </w:p>
    <w:p w14:paraId="5D0B5696" w14:textId="77777777" w:rsidR="005A746C" w:rsidRDefault="005A746C" w:rsidP="19908547">
      <w:pPr>
        <w:spacing w:line="259" w:lineRule="auto"/>
      </w:pPr>
    </w:p>
    <w:p w14:paraId="31D8FA55" w14:textId="18A23633" w:rsidR="00BF5AFA" w:rsidRPr="005A746C" w:rsidRDefault="00BF5AFA" w:rsidP="19908547">
      <w:pPr>
        <w:spacing w:line="259" w:lineRule="auto"/>
        <w:rPr>
          <w:b/>
          <w:bCs/>
        </w:rPr>
      </w:pPr>
      <w:r w:rsidRPr="005A746C">
        <w:rPr>
          <w:b/>
          <w:bCs/>
        </w:rPr>
        <w:t xml:space="preserve">Chief Officer: </w:t>
      </w:r>
      <w:r w:rsidR="005A746C">
        <w:rPr>
          <w:b/>
          <w:bCs/>
        </w:rPr>
        <w:t>Dipti Patel</w:t>
      </w:r>
    </w:p>
    <w:p w14:paraId="6C086558" w14:textId="3D159246" w:rsidR="00BF5AFA" w:rsidRPr="00A66326" w:rsidRDefault="00BF5AFA" w:rsidP="19908547">
      <w:pPr>
        <w:spacing w:line="259" w:lineRule="auto"/>
      </w:pPr>
      <w:r>
        <w:t>Signed off by the Corporate Director</w:t>
      </w:r>
      <w:r w:rsidR="00F1223D">
        <w:t xml:space="preserve"> Place</w:t>
      </w:r>
    </w:p>
    <w:p w14:paraId="5F67CDF0" w14:textId="7F68F636" w:rsidR="00BF5AFA" w:rsidRPr="00E63347" w:rsidRDefault="00BF5AFA" w:rsidP="19908547">
      <w:pPr>
        <w:spacing w:line="259" w:lineRule="auto"/>
        <w:rPr>
          <w:b/>
          <w:bCs/>
        </w:rPr>
      </w:pPr>
      <w:r w:rsidRPr="00E63347">
        <w:rPr>
          <w:b/>
          <w:bCs/>
        </w:rPr>
        <w:t xml:space="preserve">Date: </w:t>
      </w:r>
      <w:r w:rsidR="6E79722C" w:rsidRPr="0FD16559">
        <w:rPr>
          <w:b/>
          <w:bCs/>
        </w:rPr>
        <w:t>15/06</w:t>
      </w:r>
      <w:r w:rsidR="0007051E">
        <w:rPr>
          <w:b/>
          <w:bCs/>
        </w:rPr>
        <w:t>/20</w:t>
      </w:r>
      <w:r w:rsidR="6E79722C" w:rsidRPr="0FD16559">
        <w:rPr>
          <w:b/>
          <w:bCs/>
        </w:rPr>
        <w:t xml:space="preserve">23 </w:t>
      </w:r>
    </w:p>
    <w:p w14:paraId="5DD1A6F6" w14:textId="77777777" w:rsidR="005A746C" w:rsidRDefault="005A746C" w:rsidP="19908547">
      <w:pPr>
        <w:spacing w:line="259" w:lineRule="auto"/>
      </w:pPr>
    </w:p>
    <w:p w14:paraId="2C546334" w14:textId="0DC269B8" w:rsidR="00BF5AFA" w:rsidRPr="005A746C" w:rsidRDefault="00BF5AFA" w:rsidP="19908547">
      <w:pPr>
        <w:spacing w:line="259" w:lineRule="auto"/>
        <w:rPr>
          <w:b/>
          <w:bCs/>
        </w:rPr>
      </w:pPr>
      <w:r w:rsidRPr="005A746C">
        <w:rPr>
          <w:b/>
          <w:bCs/>
        </w:rPr>
        <w:t>Head of Procurement:</w:t>
      </w:r>
      <w:r w:rsidR="00C205AF">
        <w:rPr>
          <w:b/>
          <w:bCs/>
        </w:rPr>
        <w:t xml:space="preserve"> </w:t>
      </w:r>
      <w:r w:rsidR="00ED6C21">
        <w:rPr>
          <w:b/>
          <w:bCs/>
        </w:rPr>
        <w:t>David Hayes</w:t>
      </w:r>
    </w:p>
    <w:p w14:paraId="3C6E94C3" w14:textId="42BC0089" w:rsidR="00BF5AFA" w:rsidRPr="00A66326" w:rsidRDefault="00ED6C21" w:rsidP="19908547">
      <w:pPr>
        <w:spacing w:line="259" w:lineRule="auto"/>
      </w:pPr>
      <w:r>
        <w:t>Signed</w:t>
      </w:r>
      <w:r w:rsidR="00BF5AFA">
        <w:t xml:space="preserve"> on behalf of the Head of Procurement</w:t>
      </w:r>
    </w:p>
    <w:p w14:paraId="5A683B65" w14:textId="21DBAB3D" w:rsidR="00BF5AFA" w:rsidRPr="00E63347" w:rsidRDefault="00BF5AFA" w:rsidP="19908547">
      <w:pPr>
        <w:spacing w:line="259" w:lineRule="auto"/>
        <w:rPr>
          <w:b/>
          <w:bCs/>
        </w:rPr>
      </w:pPr>
      <w:r w:rsidRPr="00E63347">
        <w:rPr>
          <w:b/>
          <w:bCs/>
        </w:rPr>
        <w:t>Date:</w:t>
      </w:r>
      <w:r w:rsidR="00C205AF">
        <w:rPr>
          <w:b/>
          <w:bCs/>
        </w:rPr>
        <w:t xml:space="preserve"> </w:t>
      </w:r>
      <w:r w:rsidR="00C7021E" w:rsidRPr="00C302EA">
        <w:rPr>
          <w:b/>
          <w:bCs/>
          <w:color w:val="000000" w:themeColor="text1"/>
        </w:rPr>
        <w:t>09/06/2023</w:t>
      </w:r>
    </w:p>
    <w:p w14:paraId="27D0DB6E" w14:textId="77777777" w:rsidR="005A746C" w:rsidRDefault="005A746C" w:rsidP="19908547">
      <w:pPr>
        <w:spacing w:line="259" w:lineRule="auto"/>
      </w:pPr>
    </w:p>
    <w:p w14:paraId="113297A5" w14:textId="17C7C4A5" w:rsidR="00BF5AFA" w:rsidRPr="005A746C" w:rsidRDefault="00BF5AFA" w:rsidP="19908547">
      <w:pPr>
        <w:spacing w:line="259" w:lineRule="auto"/>
        <w:rPr>
          <w:b/>
          <w:bCs/>
        </w:rPr>
      </w:pPr>
      <w:r w:rsidRPr="005A746C">
        <w:rPr>
          <w:b/>
          <w:bCs/>
        </w:rPr>
        <w:t>Head of Internal Audit:</w:t>
      </w:r>
      <w:r w:rsidR="00621CF1">
        <w:rPr>
          <w:b/>
          <w:bCs/>
        </w:rPr>
        <w:t xml:space="preserve"> Neale Burns</w:t>
      </w:r>
    </w:p>
    <w:p w14:paraId="5CF04A24" w14:textId="7508032C" w:rsidR="00BF5AFA" w:rsidRPr="00A66326" w:rsidRDefault="00BF5AFA" w:rsidP="19908547">
      <w:pPr>
        <w:spacing w:line="259" w:lineRule="auto"/>
      </w:pPr>
      <w:r>
        <w:t>Signed on behalf of the Head of Internal Audit</w:t>
      </w:r>
    </w:p>
    <w:p w14:paraId="065BF29C" w14:textId="45300F77" w:rsidR="00BF5AFA" w:rsidRPr="00F42E1E" w:rsidRDefault="00BF5AFA" w:rsidP="19908547">
      <w:pPr>
        <w:spacing w:line="259" w:lineRule="auto"/>
      </w:pPr>
      <w:r>
        <w:t>Date:</w:t>
      </w:r>
      <w:r w:rsidR="00C4712A">
        <w:t xml:space="preserve"> </w:t>
      </w:r>
      <w:r w:rsidR="00ED6C21" w:rsidRPr="00ED6C21">
        <w:rPr>
          <w:b/>
          <w:bCs/>
        </w:rPr>
        <w:t>0</w:t>
      </w:r>
      <w:r w:rsidR="00C4712A" w:rsidRPr="00ED6C21">
        <w:rPr>
          <w:b/>
          <w:bCs/>
        </w:rPr>
        <w:t>1</w:t>
      </w:r>
      <w:r w:rsidR="00C4712A" w:rsidRPr="00C4712A">
        <w:rPr>
          <w:b/>
          <w:bCs/>
        </w:rPr>
        <w:t>/6/2023</w:t>
      </w:r>
    </w:p>
    <w:p w14:paraId="04C352A5" w14:textId="77777777" w:rsidR="00F42E1E" w:rsidRDefault="00F42E1E" w:rsidP="19908547">
      <w:pPr>
        <w:spacing w:line="259" w:lineRule="auto"/>
      </w:pPr>
    </w:p>
    <w:p w14:paraId="236185B6" w14:textId="249E91E0" w:rsidR="00F42E1E" w:rsidRPr="00F42E1E" w:rsidRDefault="00F42E1E" w:rsidP="19908547">
      <w:pPr>
        <w:spacing w:line="259" w:lineRule="auto"/>
      </w:pPr>
      <w:r w:rsidRPr="00260743">
        <w:rPr>
          <w:b/>
          <w:bCs/>
        </w:rPr>
        <w:t>Has the Portfolio Holder(s) been consulted?  Yes</w:t>
      </w:r>
      <w:r w:rsidRPr="005A6BCB">
        <w:t xml:space="preserve"> </w:t>
      </w:r>
      <w:sdt>
        <w:sdtPr>
          <w:rPr>
            <w:b/>
            <w:bCs/>
            <w:sz w:val="28"/>
            <w:szCs w:val="28"/>
          </w:rPr>
          <w:id w:val="-506674679"/>
          <w:placeholder>
            <w:docPart w:val="DefaultPlaceholder_1081868574"/>
          </w:placeholder>
          <w14:checkbox>
            <w14:checked w14:val="1"/>
            <w14:checkedState w14:val="2612" w14:font="MS Gothic"/>
            <w14:uncheckedState w14:val="2610" w14:font="MS Gothic"/>
          </w14:checkbox>
        </w:sdtPr>
        <w:sdtEndPr/>
        <w:sdtContent>
          <w:r w:rsidR="005A746C">
            <w:rPr>
              <w:rFonts w:ascii="MS Gothic" w:eastAsia="MS Gothic" w:hAnsi="MS Gothic" w:hint="eastAsia"/>
              <w:b/>
              <w:bCs/>
              <w:sz w:val="28"/>
              <w:szCs w:val="28"/>
            </w:rPr>
            <w:t>☒</w:t>
          </w:r>
        </w:sdtContent>
      </w:sdt>
      <w:r w:rsidRPr="005A6BCB">
        <w:t xml:space="preserve">     </w:t>
      </w:r>
    </w:p>
    <w:p w14:paraId="5E92ECB6" w14:textId="77777777" w:rsidR="005A746C" w:rsidRDefault="005A746C" w:rsidP="19908547">
      <w:pPr>
        <w:spacing w:line="259" w:lineRule="auto"/>
      </w:pPr>
    </w:p>
    <w:p w14:paraId="45A19EC7" w14:textId="3D6ECBF3" w:rsidR="003313EA" w:rsidRPr="00ED6C21" w:rsidRDefault="003313EA" w:rsidP="19908547">
      <w:pPr>
        <w:spacing w:line="259" w:lineRule="auto"/>
        <w:rPr>
          <w:rFonts w:ascii="Arial Black" w:hAnsi="Arial Black"/>
          <w:b/>
          <w:bCs/>
        </w:rPr>
      </w:pPr>
      <w:r w:rsidRPr="00ED6C21">
        <w:rPr>
          <w:rFonts w:ascii="Arial Black" w:hAnsi="Arial Black"/>
          <w:b/>
          <w:bCs/>
        </w:rPr>
        <w:t>Mandatory Checks</w:t>
      </w:r>
    </w:p>
    <w:p w14:paraId="017F60DD" w14:textId="33EFB561" w:rsidR="005A746C" w:rsidRDefault="003313EA" w:rsidP="19908547">
      <w:pPr>
        <w:spacing w:line="259" w:lineRule="auto"/>
      </w:pPr>
      <w:r>
        <w:t>Ward Councillors notified:  YES</w:t>
      </w:r>
    </w:p>
    <w:p w14:paraId="2A2D9472" w14:textId="6FFE2E77" w:rsidR="003313EA" w:rsidRPr="00202D79" w:rsidRDefault="003313EA" w:rsidP="19908547">
      <w:pPr>
        <w:spacing w:line="259" w:lineRule="auto"/>
      </w:pPr>
      <w:proofErr w:type="spellStart"/>
      <w:r>
        <w:t>EqIA</w:t>
      </w:r>
      <w:proofErr w:type="spellEnd"/>
      <w:r>
        <w:t xml:space="preserve"> carried out:  </w:t>
      </w:r>
      <w:r w:rsidRPr="00ED6C21">
        <w:t>YES</w:t>
      </w:r>
    </w:p>
    <w:p w14:paraId="6B589F3A" w14:textId="2999DF37" w:rsidR="003313EA" w:rsidRPr="00ED6C21" w:rsidRDefault="003313EA" w:rsidP="19908547">
      <w:pPr>
        <w:spacing w:line="259" w:lineRule="auto"/>
      </w:pPr>
      <w:proofErr w:type="spellStart"/>
      <w:r>
        <w:t>EqIA</w:t>
      </w:r>
      <w:proofErr w:type="spellEnd"/>
      <w:r>
        <w:t xml:space="preserve"> cleared by:  </w:t>
      </w:r>
      <w:r w:rsidR="043BC04A" w:rsidRPr="00ED6C21">
        <w:t>Yasmeen Hussein</w:t>
      </w:r>
    </w:p>
    <w:p w14:paraId="74FCBC90" w14:textId="77777777" w:rsidR="00C33D30" w:rsidRDefault="00C33D30" w:rsidP="19908547">
      <w:pPr>
        <w:spacing w:line="259" w:lineRule="auto"/>
      </w:pPr>
    </w:p>
    <w:p w14:paraId="41E16C55" w14:textId="575BBA08" w:rsidR="00333FAA" w:rsidRPr="00ED6C21" w:rsidRDefault="00333FAA" w:rsidP="19908547">
      <w:pPr>
        <w:spacing w:line="259" w:lineRule="auto"/>
        <w:rPr>
          <w:rFonts w:ascii="Arial Black" w:hAnsi="Arial Black"/>
          <w:b/>
          <w:bCs/>
          <w:sz w:val="28"/>
          <w:szCs w:val="22"/>
        </w:rPr>
      </w:pPr>
      <w:r w:rsidRPr="00ED6C21">
        <w:rPr>
          <w:rFonts w:ascii="Arial Black" w:hAnsi="Arial Black"/>
          <w:b/>
          <w:bCs/>
          <w:sz w:val="28"/>
          <w:szCs w:val="22"/>
        </w:rPr>
        <w:t xml:space="preserve">Section </w:t>
      </w:r>
      <w:r w:rsidR="00A20113" w:rsidRPr="00ED6C21">
        <w:rPr>
          <w:rFonts w:ascii="Arial Black" w:hAnsi="Arial Black"/>
          <w:b/>
          <w:bCs/>
          <w:sz w:val="28"/>
          <w:szCs w:val="22"/>
        </w:rPr>
        <w:t>4</w:t>
      </w:r>
      <w:r w:rsidRPr="00ED6C21">
        <w:rPr>
          <w:rFonts w:ascii="Arial Black" w:hAnsi="Arial Black"/>
          <w:b/>
          <w:bCs/>
          <w:sz w:val="28"/>
          <w:szCs w:val="22"/>
        </w:rPr>
        <w:t xml:space="preserve"> - Contact Details and Background Papers</w:t>
      </w:r>
    </w:p>
    <w:p w14:paraId="0005C0E4" w14:textId="0829CF6F" w:rsidR="00333FAA" w:rsidRPr="005808FB" w:rsidRDefault="00333FAA" w:rsidP="00CC18AC">
      <w:pPr>
        <w:pStyle w:val="Infotext"/>
        <w:spacing w:after="240"/>
        <w:rPr>
          <w:color w:val="FF0000"/>
        </w:rPr>
      </w:pPr>
      <w:r w:rsidRPr="19908547">
        <w:rPr>
          <w:sz w:val="24"/>
          <w:szCs w:val="24"/>
        </w:rPr>
        <w:t xml:space="preserve">Contact:  </w:t>
      </w:r>
      <w:r w:rsidR="003816DE">
        <w:rPr>
          <w:sz w:val="24"/>
          <w:szCs w:val="24"/>
        </w:rPr>
        <w:t>David Sklair, External Funding Manager</w:t>
      </w:r>
      <w:r w:rsidR="009B4B25">
        <w:rPr>
          <w:sz w:val="24"/>
          <w:szCs w:val="24"/>
        </w:rPr>
        <w:t xml:space="preserve"> </w:t>
      </w:r>
      <w:hyperlink r:id="rId13" w:history="1">
        <w:r w:rsidR="00ED6C21" w:rsidRPr="004F775F">
          <w:rPr>
            <w:rStyle w:val="Hyperlink"/>
            <w:sz w:val="24"/>
            <w:szCs w:val="24"/>
          </w:rPr>
          <w:t>David.Sklair@harrow.gov.uk</w:t>
        </w:r>
      </w:hyperlink>
      <w:r w:rsidR="00ED6C21">
        <w:rPr>
          <w:sz w:val="24"/>
          <w:szCs w:val="24"/>
        </w:rPr>
        <w:t xml:space="preserve"> </w:t>
      </w:r>
    </w:p>
    <w:p w14:paraId="6972E4FB" w14:textId="395545ED" w:rsidR="00A527DA" w:rsidRDefault="00333FAA" w:rsidP="00CC18AC">
      <w:pPr>
        <w:pStyle w:val="Infotext"/>
        <w:spacing w:after="240"/>
        <w:rPr>
          <w:b/>
        </w:rPr>
      </w:pPr>
      <w:r w:rsidRPr="004E47FC">
        <w:rPr>
          <w:b/>
        </w:rPr>
        <w:t>Background Papers:</w:t>
      </w:r>
    </w:p>
    <w:p w14:paraId="1B80217B" w14:textId="7A386A75" w:rsidR="007D32C9" w:rsidRPr="00ED6C21" w:rsidRDefault="00B42D01" w:rsidP="00ED6C21">
      <w:pPr>
        <w:pStyle w:val="ListParagraph"/>
        <w:numPr>
          <w:ilvl w:val="0"/>
          <w:numId w:val="19"/>
        </w:numPr>
        <w:rPr>
          <w:rFonts w:cs="Arial"/>
          <w:szCs w:val="24"/>
          <w:lang w:eastAsia="en-GB"/>
        </w:rPr>
      </w:pPr>
      <w:r w:rsidRPr="00ED6C21">
        <w:rPr>
          <w:rFonts w:cs="Arial"/>
          <w:szCs w:val="24"/>
          <w:lang w:eastAsia="en-GB"/>
        </w:rPr>
        <w:t>FHSF Project Adjustment Form</w:t>
      </w:r>
      <w:r w:rsidR="00E036F5" w:rsidRPr="00ED6C21">
        <w:rPr>
          <w:rFonts w:cs="Arial"/>
          <w:szCs w:val="24"/>
          <w:lang w:eastAsia="en-GB"/>
        </w:rPr>
        <w:t xml:space="preserve"> – Word document</w:t>
      </w:r>
    </w:p>
    <w:p w14:paraId="1E67C725" w14:textId="5CD0034D" w:rsidR="006D7614" w:rsidRPr="00ED6C21" w:rsidRDefault="006D7614" w:rsidP="00ED6C21">
      <w:pPr>
        <w:pStyle w:val="ListParagraph"/>
        <w:numPr>
          <w:ilvl w:val="0"/>
          <w:numId w:val="19"/>
        </w:numPr>
        <w:rPr>
          <w:rFonts w:cs="Arial"/>
          <w:szCs w:val="24"/>
          <w:lang w:eastAsia="en-GB"/>
        </w:rPr>
      </w:pPr>
      <w:r w:rsidRPr="00ED6C21">
        <w:rPr>
          <w:rFonts w:cs="Arial"/>
          <w:szCs w:val="24"/>
          <w:lang w:eastAsia="en-GB"/>
        </w:rPr>
        <w:t>Annex A - Project Adjustment Finance</w:t>
      </w:r>
      <w:r w:rsidR="00E036F5" w:rsidRPr="00ED6C21">
        <w:rPr>
          <w:rFonts w:cs="Arial"/>
          <w:szCs w:val="24"/>
          <w:lang w:eastAsia="en-GB"/>
        </w:rPr>
        <w:t xml:space="preserve"> - Spreadsheet</w:t>
      </w:r>
    </w:p>
    <w:p w14:paraId="4D9A7485" w14:textId="79B4D17A" w:rsidR="006D7614" w:rsidRPr="00ED6C21" w:rsidRDefault="006D7614" w:rsidP="00ED6C21">
      <w:pPr>
        <w:pStyle w:val="ListParagraph"/>
        <w:numPr>
          <w:ilvl w:val="0"/>
          <w:numId w:val="19"/>
        </w:numPr>
        <w:rPr>
          <w:rFonts w:cs="Arial"/>
          <w:szCs w:val="24"/>
          <w:lang w:eastAsia="en-GB"/>
        </w:rPr>
      </w:pPr>
      <w:r w:rsidRPr="00ED6C21">
        <w:rPr>
          <w:rFonts w:cs="Arial"/>
          <w:szCs w:val="24"/>
          <w:lang w:eastAsia="en-GB"/>
        </w:rPr>
        <w:t>Annex B - Project Adjustment Outputs</w:t>
      </w:r>
      <w:r w:rsidR="00E036F5" w:rsidRPr="00ED6C21">
        <w:rPr>
          <w:rFonts w:cs="Arial"/>
          <w:szCs w:val="24"/>
          <w:lang w:eastAsia="en-GB"/>
        </w:rPr>
        <w:t xml:space="preserve"> - Spreadsheet</w:t>
      </w:r>
    </w:p>
    <w:p w14:paraId="172BB5D3" w14:textId="3C829F1C" w:rsidR="00E036F5" w:rsidRPr="00ED6C21" w:rsidRDefault="00E036F5" w:rsidP="00ED6C21">
      <w:pPr>
        <w:pStyle w:val="ListParagraph"/>
        <w:numPr>
          <w:ilvl w:val="0"/>
          <w:numId w:val="19"/>
        </w:numPr>
        <w:rPr>
          <w:rFonts w:cs="Arial"/>
          <w:lang w:eastAsia="en-GB"/>
        </w:rPr>
      </w:pPr>
      <w:r w:rsidRPr="00ED6C21">
        <w:rPr>
          <w:rFonts w:cs="Arial"/>
          <w:lang w:eastAsia="en-GB"/>
        </w:rPr>
        <w:t>Annex C - Project Adjustment Value for Money</w:t>
      </w:r>
      <w:r w:rsidR="4AF82C6B" w:rsidRPr="00ED6C21">
        <w:rPr>
          <w:rFonts w:cs="Arial"/>
          <w:lang w:eastAsia="en-GB"/>
        </w:rPr>
        <w:t xml:space="preserve"> – </w:t>
      </w:r>
      <w:r w:rsidRPr="00ED6C21">
        <w:rPr>
          <w:rFonts w:cs="Arial"/>
          <w:lang w:eastAsia="en-GB"/>
        </w:rPr>
        <w:t>Spreadsheet</w:t>
      </w:r>
    </w:p>
    <w:p w14:paraId="586EAB5A" w14:textId="77777777" w:rsidR="006D7614" w:rsidRDefault="006D7614" w:rsidP="006D7614">
      <w:pPr>
        <w:rPr>
          <w:rFonts w:ascii="Calibri" w:hAnsi="Calibri"/>
          <w:sz w:val="18"/>
          <w:szCs w:val="18"/>
          <w:lang w:eastAsia="en-GB"/>
        </w:rPr>
      </w:pPr>
    </w:p>
    <w:p w14:paraId="7C8FEB52" w14:textId="5D58A2AD" w:rsidR="00842757" w:rsidRPr="007C0DC3" w:rsidRDefault="00842757" w:rsidP="006D7614">
      <w:pPr>
        <w:rPr>
          <w:rFonts w:ascii="Arial Black" w:hAnsi="Arial Black"/>
        </w:rPr>
      </w:pPr>
      <w:r>
        <w:rPr>
          <w:rFonts w:ascii="Arial Black" w:hAnsi="Arial Black"/>
        </w:rPr>
        <w:lastRenderedPageBreak/>
        <w:t>Call-in w</w:t>
      </w:r>
      <w:r w:rsidRPr="007C0DC3">
        <w:rPr>
          <w:rFonts w:ascii="Arial Black" w:hAnsi="Arial Black"/>
        </w:rPr>
        <w:t>aived by the Chair of Overview and Scrutiny Committee</w:t>
      </w:r>
      <w:r w:rsidR="00ED6C21">
        <w:rPr>
          <w:rFonts w:ascii="Arial Black" w:hAnsi="Arial Black"/>
        </w:rPr>
        <w:t xml:space="preserve"> - NO</w:t>
      </w:r>
    </w:p>
    <w:sectPr w:rsidR="00842757" w:rsidRPr="007C0DC3"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1F7A" w14:textId="77777777" w:rsidR="00044263" w:rsidRDefault="00044263">
      <w:r>
        <w:separator/>
      </w:r>
    </w:p>
  </w:endnote>
  <w:endnote w:type="continuationSeparator" w:id="0">
    <w:p w14:paraId="2C4A54B0" w14:textId="77777777" w:rsidR="00044263" w:rsidRDefault="00044263">
      <w:r>
        <w:continuationSeparator/>
      </w:r>
    </w:p>
  </w:endnote>
  <w:endnote w:type="continuationNotice" w:id="1">
    <w:p w14:paraId="1940FB02" w14:textId="77777777" w:rsidR="00044263" w:rsidRDefault="00044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19DB" w14:textId="77777777" w:rsidR="00044263" w:rsidRDefault="00044263">
      <w:r>
        <w:separator/>
      </w:r>
    </w:p>
  </w:footnote>
  <w:footnote w:type="continuationSeparator" w:id="0">
    <w:p w14:paraId="24339214" w14:textId="77777777" w:rsidR="00044263" w:rsidRDefault="00044263">
      <w:r>
        <w:continuationSeparator/>
      </w:r>
    </w:p>
  </w:footnote>
  <w:footnote w:type="continuationNotice" w:id="1">
    <w:p w14:paraId="371C96CF" w14:textId="77777777" w:rsidR="00044263" w:rsidRDefault="000442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intelligence2.xml><?xml version="1.0" encoding="utf-8"?>
<int2:intelligence xmlns:int2="http://schemas.microsoft.com/office/intelligence/2020/intelligence" xmlns:oel="http://schemas.microsoft.com/office/2019/extlst">
  <int2:observations>
    <int2:textHash int2:hashCode="RB2Wbfge0JV6vg" int2:id="2rr3yWsm">
      <int2:state int2:value="Rejected" int2:type="AugLoop_Text_Critique"/>
    </int2:textHash>
    <int2:textHash int2:hashCode="l/F3qaURjXHmTy" int2:id="AJeiZxXC">
      <int2:state int2:value="Rejected" int2:type="AugLoop_Text_Critique"/>
    </int2:textHash>
    <int2:textHash int2:hashCode="//55wbNKk6MnmS" int2:id="F3cRoras">
      <int2:state int2:value="Rejected" int2:type="AugLoop_Text_Critique"/>
    </int2:textHash>
    <int2:textHash int2:hashCode="ni8UUdXdlt6RIo" int2:id="hfDNfsI7">
      <int2:state int2:value="Rejected" int2:type="AugLoop_Text_Critique"/>
    </int2:textHash>
    <int2:bookmark int2:bookmarkName="_Int_5P0uZNbb" int2:invalidationBookmarkName="" int2:hashCode="Q+75piq7ix4WVP" int2:id="7A2DKIe7">
      <int2:state int2:value="Rejected" int2:type="AugLoop_Text_Critique"/>
    </int2:bookmark>
    <int2:bookmark int2:bookmarkName="_Int_2PTOGZo1" int2:invalidationBookmarkName="" int2:hashCode="f1OmjTJDRvyEV6" int2:id="B4wjd79D">
      <int2:state int2:value="Rejected" int2:type="AugLoop_Text_Critique"/>
    </int2:bookmark>
    <int2:bookmark int2:bookmarkName="_Int_LiQ0jfsU" int2:invalidationBookmarkName="" int2:hashCode="U5fgWD8U9siN4G" int2:id="DUDp66Yb">
      <int2:state int2:value="Rejected" int2:type="AugLoop_Text_Critique"/>
    </int2:bookmark>
    <int2:bookmark int2:bookmarkName="_Int_Mvrp8M9S" int2:invalidationBookmarkName="" int2:hashCode="NszP8/P3Vqal1e" int2:id="OuPyKFMq">
      <int2:state int2:value="Rejected" int2:type="AugLoop_Text_Critique"/>
    </int2:bookmark>
    <int2:bookmark int2:bookmarkName="_Int_bJVgdFkE" int2:invalidationBookmarkName="" int2:hashCode="xn3SDuhCmGCGoK" int2:id="dqZDi1wb">
      <int2:state int2:value="Rejected" int2:type="AugLoop_Text_Critique"/>
    </int2:bookmark>
    <int2:bookmark int2:bookmarkName="_Int_7RYgEOnK" int2:invalidationBookmarkName="" int2:hashCode="rxDvIN2QYLvurQ" int2:id="vsLRqOx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6557"/>
    <w:multiLevelType w:val="hybridMultilevel"/>
    <w:tmpl w:val="79CAC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112BDD"/>
    <w:multiLevelType w:val="hybridMultilevel"/>
    <w:tmpl w:val="0D94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86E9E"/>
    <w:multiLevelType w:val="hybridMultilevel"/>
    <w:tmpl w:val="DB4C7D32"/>
    <w:lvl w:ilvl="0" w:tplc="08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CF69A9"/>
    <w:multiLevelType w:val="multilevel"/>
    <w:tmpl w:val="9190BF4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F86BA2"/>
    <w:multiLevelType w:val="multilevel"/>
    <w:tmpl w:val="FE303E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49D4769"/>
    <w:multiLevelType w:val="hybridMultilevel"/>
    <w:tmpl w:val="60423A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E549A6"/>
    <w:multiLevelType w:val="multilevel"/>
    <w:tmpl w:val="59F6B6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ECF77D0"/>
    <w:multiLevelType w:val="hybridMultilevel"/>
    <w:tmpl w:val="C5D2B8CC"/>
    <w:lvl w:ilvl="0" w:tplc="F982995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EDFD5"/>
    <w:multiLevelType w:val="hybridMultilevel"/>
    <w:tmpl w:val="E8D83624"/>
    <w:lvl w:ilvl="0" w:tplc="6E6A3552">
      <w:start w:val="1"/>
      <w:numFmt w:val="decimal"/>
      <w:lvlText w:val="%1."/>
      <w:lvlJc w:val="left"/>
      <w:pPr>
        <w:ind w:left="720" w:hanging="360"/>
      </w:pPr>
    </w:lvl>
    <w:lvl w:ilvl="1" w:tplc="D8AA6C9C">
      <w:start w:val="1"/>
      <w:numFmt w:val="lowerLetter"/>
      <w:lvlText w:val="%2."/>
      <w:lvlJc w:val="left"/>
      <w:pPr>
        <w:ind w:left="1440" w:hanging="360"/>
      </w:pPr>
    </w:lvl>
    <w:lvl w:ilvl="2" w:tplc="281E7B12">
      <w:start w:val="1"/>
      <w:numFmt w:val="lowerRoman"/>
      <w:lvlText w:val="%3."/>
      <w:lvlJc w:val="right"/>
      <w:pPr>
        <w:ind w:left="2160" w:hanging="180"/>
      </w:pPr>
    </w:lvl>
    <w:lvl w:ilvl="3" w:tplc="0664972C">
      <w:start w:val="1"/>
      <w:numFmt w:val="decimal"/>
      <w:lvlText w:val="%4."/>
      <w:lvlJc w:val="left"/>
      <w:pPr>
        <w:ind w:left="2880" w:hanging="360"/>
      </w:pPr>
    </w:lvl>
    <w:lvl w:ilvl="4" w:tplc="162857D8">
      <w:start w:val="1"/>
      <w:numFmt w:val="lowerLetter"/>
      <w:lvlText w:val="%5."/>
      <w:lvlJc w:val="left"/>
      <w:pPr>
        <w:ind w:left="3600" w:hanging="360"/>
      </w:pPr>
    </w:lvl>
    <w:lvl w:ilvl="5" w:tplc="68B8EA0C">
      <w:start w:val="1"/>
      <w:numFmt w:val="lowerRoman"/>
      <w:lvlText w:val="%6."/>
      <w:lvlJc w:val="right"/>
      <w:pPr>
        <w:ind w:left="4320" w:hanging="180"/>
      </w:pPr>
    </w:lvl>
    <w:lvl w:ilvl="6" w:tplc="6A50F5FC">
      <w:start w:val="1"/>
      <w:numFmt w:val="decimal"/>
      <w:lvlText w:val="%7."/>
      <w:lvlJc w:val="left"/>
      <w:pPr>
        <w:ind w:left="5040" w:hanging="360"/>
      </w:pPr>
    </w:lvl>
    <w:lvl w:ilvl="7" w:tplc="6C22AF06">
      <w:start w:val="1"/>
      <w:numFmt w:val="lowerLetter"/>
      <w:lvlText w:val="%8."/>
      <w:lvlJc w:val="left"/>
      <w:pPr>
        <w:ind w:left="5760" w:hanging="360"/>
      </w:pPr>
    </w:lvl>
    <w:lvl w:ilvl="8" w:tplc="2A9E6EB4">
      <w:start w:val="1"/>
      <w:numFmt w:val="lowerRoman"/>
      <w:lvlText w:val="%9."/>
      <w:lvlJc w:val="right"/>
      <w:pPr>
        <w:ind w:left="6480" w:hanging="180"/>
      </w:pPr>
    </w:lvl>
  </w:abstractNum>
  <w:abstractNum w:abstractNumId="10" w15:restartNumberingAfterBreak="0">
    <w:nsid w:val="42DF2D6E"/>
    <w:multiLevelType w:val="hybridMultilevel"/>
    <w:tmpl w:val="844A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D7A82"/>
    <w:multiLevelType w:val="hybridMultilevel"/>
    <w:tmpl w:val="60423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7F2486"/>
    <w:multiLevelType w:val="hybridMultilevel"/>
    <w:tmpl w:val="9892AB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D83CCE"/>
    <w:multiLevelType w:val="hybridMultilevel"/>
    <w:tmpl w:val="646CE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816D3F"/>
    <w:multiLevelType w:val="hybridMultilevel"/>
    <w:tmpl w:val="C7F4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80204"/>
    <w:multiLevelType w:val="hybridMultilevel"/>
    <w:tmpl w:val="1D8E1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8C6D5A"/>
    <w:multiLevelType w:val="hybridMultilevel"/>
    <w:tmpl w:val="101ED590"/>
    <w:lvl w:ilvl="0" w:tplc="FFFFFFFF">
      <w:start w:val="1"/>
      <w:numFmt w:val="lowerLetter"/>
      <w:lvlText w:val="%1."/>
      <w:lvlJc w:val="left"/>
      <w:pPr>
        <w:ind w:left="720" w:hanging="360"/>
      </w:pPr>
    </w:lvl>
    <w:lvl w:ilvl="1" w:tplc="7CEE4B2C">
      <w:start w:val="1"/>
      <w:numFmt w:val="lowerLetter"/>
      <w:lvlText w:val="%2."/>
      <w:lvlJc w:val="left"/>
      <w:pPr>
        <w:ind w:left="1440" w:hanging="360"/>
      </w:pPr>
    </w:lvl>
    <w:lvl w:ilvl="2" w:tplc="3886CF74">
      <w:start w:val="1"/>
      <w:numFmt w:val="lowerRoman"/>
      <w:lvlText w:val="%3."/>
      <w:lvlJc w:val="right"/>
      <w:pPr>
        <w:ind w:left="2160" w:hanging="180"/>
      </w:pPr>
    </w:lvl>
    <w:lvl w:ilvl="3" w:tplc="3A66AD9E">
      <w:start w:val="1"/>
      <w:numFmt w:val="decimal"/>
      <w:lvlText w:val="%4."/>
      <w:lvlJc w:val="left"/>
      <w:pPr>
        <w:ind w:left="2880" w:hanging="360"/>
      </w:pPr>
    </w:lvl>
    <w:lvl w:ilvl="4" w:tplc="3A06408E">
      <w:start w:val="1"/>
      <w:numFmt w:val="lowerLetter"/>
      <w:lvlText w:val="%5."/>
      <w:lvlJc w:val="left"/>
      <w:pPr>
        <w:ind w:left="3600" w:hanging="360"/>
      </w:pPr>
    </w:lvl>
    <w:lvl w:ilvl="5" w:tplc="E4CE65F6">
      <w:start w:val="1"/>
      <w:numFmt w:val="lowerRoman"/>
      <w:lvlText w:val="%6."/>
      <w:lvlJc w:val="right"/>
      <w:pPr>
        <w:ind w:left="4320" w:hanging="180"/>
      </w:pPr>
    </w:lvl>
    <w:lvl w:ilvl="6" w:tplc="2D521E0A">
      <w:start w:val="1"/>
      <w:numFmt w:val="decimal"/>
      <w:lvlText w:val="%7."/>
      <w:lvlJc w:val="left"/>
      <w:pPr>
        <w:ind w:left="5040" w:hanging="360"/>
      </w:pPr>
    </w:lvl>
    <w:lvl w:ilvl="7" w:tplc="D34816C8">
      <w:start w:val="1"/>
      <w:numFmt w:val="lowerLetter"/>
      <w:lvlText w:val="%8."/>
      <w:lvlJc w:val="left"/>
      <w:pPr>
        <w:ind w:left="5760" w:hanging="360"/>
      </w:pPr>
    </w:lvl>
    <w:lvl w:ilvl="8" w:tplc="4208BD3A">
      <w:start w:val="1"/>
      <w:numFmt w:val="lowerRoman"/>
      <w:lvlText w:val="%9."/>
      <w:lvlJc w:val="right"/>
      <w:pPr>
        <w:ind w:left="6480" w:hanging="180"/>
      </w:pPr>
    </w:lvl>
  </w:abstractNum>
  <w:abstractNum w:abstractNumId="17" w15:restartNumberingAfterBreak="0">
    <w:nsid w:val="656F1B0B"/>
    <w:multiLevelType w:val="multilevel"/>
    <w:tmpl w:val="51046C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47361525">
    <w:abstractNumId w:val="1"/>
  </w:num>
  <w:num w:numId="2" w16cid:durableId="148447381">
    <w:abstractNumId w:val="16"/>
  </w:num>
  <w:num w:numId="3" w16cid:durableId="892155794">
    <w:abstractNumId w:val="17"/>
  </w:num>
  <w:num w:numId="4" w16cid:durableId="626279943">
    <w:abstractNumId w:val="5"/>
  </w:num>
  <w:num w:numId="5" w16cid:durableId="787549140">
    <w:abstractNumId w:val="7"/>
  </w:num>
  <w:num w:numId="6" w16cid:durableId="1797144049">
    <w:abstractNumId w:val="4"/>
  </w:num>
  <w:num w:numId="7" w16cid:durableId="2088502886">
    <w:abstractNumId w:val="13"/>
  </w:num>
  <w:num w:numId="8" w16cid:durableId="1598782564">
    <w:abstractNumId w:val="15"/>
  </w:num>
  <w:num w:numId="9" w16cid:durableId="1931424040">
    <w:abstractNumId w:val="0"/>
  </w:num>
  <w:num w:numId="10" w16cid:durableId="1796480411">
    <w:abstractNumId w:val="8"/>
  </w:num>
  <w:num w:numId="11" w16cid:durableId="1994488421">
    <w:abstractNumId w:val="12"/>
  </w:num>
  <w:num w:numId="12" w16cid:durableId="1160659281">
    <w:abstractNumId w:val="10"/>
  </w:num>
  <w:num w:numId="13" w16cid:durableId="1199316785">
    <w:abstractNumId w:val="11"/>
  </w:num>
  <w:num w:numId="14" w16cid:durableId="1104500800">
    <w:abstractNumId w:val="6"/>
  </w:num>
  <w:num w:numId="15" w16cid:durableId="4670176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2063480">
    <w:abstractNumId w:val="2"/>
  </w:num>
  <w:num w:numId="17" w16cid:durableId="165096088">
    <w:abstractNumId w:val="9"/>
  </w:num>
  <w:num w:numId="18" w16cid:durableId="1831558336">
    <w:abstractNumId w:val="3"/>
  </w:num>
  <w:num w:numId="19" w16cid:durableId="136625076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627"/>
    <w:rsid w:val="00002A72"/>
    <w:rsid w:val="000039A2"/>
    <w:rsid w:val="00012493"/>
    <w:rsid w:val="00017326"/>
    <w:rsid w:val="00027754"/>
    <w:rsid w:val="00030006"/>
    <w:rsid w:val="00034C2B"/>
    <w:rsid w:val="00035F8D"/>
    <w:rsid w:val="0004029A"/>
    <w:rsid w:val="000418BD"/>
    <w:rsid w:val="00041D81"/>
    <w:rsid w:val="00041F99"/>
    <w:rsid w:val="00042191"/>
    <w:rsid w:val="00044263"/>
    <w:rsid w:val="00045DD6"/>
    <w:rsid w:val="000474E3"/>
    <w:rsid w:val="0005104F"/>
    <w:rsid w:val="000529F1"/>
    <w:rsid w:val="0005699E"/>
    <w:rsid w:val="0006034E"/>
    <w:rsid w:val="00060E2D"/>
    <w:rsid w:val="00063017"/>
    <w:rsid w:val="00063783"/>
    <w:rsid w:val="000651ED"/>
    <w:rsid w:val="0007051E"/>
    <w:rsid w:val="00073605"/>
    <w:rsid w:val="00073765"/>
    <w:rsid w:val="00075A8B"/>
    <w:rsid w:val="00080233"/>
    <w:rsid w:val="000802E3"/>
    <w:rsid w:val="00084BD7"/>
    <w:rsid w:val="000859F4"/>
    <w:rsid w:val="000929A6"/>
    <w:rsid w:val="00095FA1"/>
    <w:rsid w:val="00096685"/>
    <w:rsid w:val="000972CE"/>
    <w:rsid w:val="000A0F45"/>
    <w:rsid w:val="000A114F"/>
    <w:rsid w:val="000A4127"/>
    <w:rsid w:val="000B5015"/>
    <w:rsid w:val="000B5FB0"/>
    <w:rsid w:val="000B61C8"/>
    <w:rsid w:val="000B788F"/>
    <w:rsid w:val="000B7A74"/>
    <w:rsid w:val="000B7C66"/>
    <w:rsid w:val="000C09AF"/>
    <w:rsid w:val="000D0460"/>
    <w:rsid w:val="000D3E38"/>
    <w:rsid w:val="000D4E36"/>
    <w:rsid w:val="000D5975"/>
    <w:rsid w:val="000D6298"/>
    <w:rsid w:val="000E18E6"/>
    <w:rsid w:val="000E32DD"/>
    <w:rsid w:val="000E5B83"/>
    <w:rsid w:val="000E5CF0"/>
    <w:rsid w:val="000E5CFA"/>
    <w:rsid w:val="000E62FE"/>
    <w:rsid w:val="000E7033"/>
    <w:rsid w:val="000F0280"/>
    <w:rsid w:val="000F0ECB"/>
    <w:rsid w:val="000F1E99"/>
    <w:rsid w:val="000F37F0"/>
    <w:rsid w:val="000F48AA"/>
    <w:rsid w:val="000F76F0"/>
    <w:rsid w:val="000F7DC1"/>
    <w:rsid w:val="00102290"/>
    <w:rsid w:val="00102454"/>
    <w:rsid w:val="001025F6"/>
    <w:rsid w:val="00103C4C"/>
    <w:rsid w:val="00105B8A"/>
    <w:rsid w:val="00113779"/>
    <w:rsid w:val="001161E4"/>
    <w:rsid w:val="00116B12"/>
    <w:rsid w:val="0011774E"/>
    <w:rsid w:val="0012392A"/>
    <w:rsid w:val="00124294"/>
    <w:rsid w:val="00125A26"/>
    <w:rsid w:val="00125C16"/>
    <w:rsid w:val="00130885"/>
    <w:rsid w:val="001324E3"/>
    <w:rsid w:val="00132B92"/>
    <w:rsid w:val="00134C86"/>
    <w:rsid w:val="00136D6B"/>
    <w:rsid w:val="00143D13"/>
    <w:rsid w:val="001472A8"/>
    <w:rsid w:val="00147C1A"/>
    <w:rsid w:val="00153387"/>
    <w:rsid w:val="0015376F"/>
    <w:rsid w:val="0015595A"/>
    <w:rsid w:val="001614E0"/>
    <w:rsid w:val="00162185"/>
    <w:rsid w:val="00162705"/>
    <w:rsid w:val="00165365"/>
    <w:rsid w:val="00171BD8"/>
    <w:rsid w:val="0017653E"/>
    <w:rsid w:val="001810B9"/>
    <w:rsid w:val="00182B01"/>
    <w:rsid w:val="001840D2"/>
    <w:rsid w:val="00184E2D"/>
    <w:rsid w:val="0019040A"/>
    <w:rsid w:val="00190FF9"/>
    <w:rsid w:val="001966D7"/>
    <w:rsid w:val="001967BA"/>
    <w:rsid w:val="001A0A2E"/>
    <w:rsid w:val="001A0DC6"/>
    <w:rsid w:val="001A5306"/>
    <w:rsid w:val="001B1F30"/>
    <w:rsid w:val="001B2D62"/>
    <w:rsid w:val="001B30C0"/>
    <w:rsid w:val="001B3637"/>
    <w:rsid w:val="001B5A00"/>
    <w:rsid w:val="001B5FD2"/>
    <w:rsid w:val="001B6BA4"/>
    <w:rsid w:val="001B7224"/>
    <w:rsid w:val="001C4D2E"/>
    <w:rsid w:val="001C6A67"/>
    <w:rsid w:val="001C7311"/>
    <w:rsid w:val="001C7BCB"/>
    <w:rsid w:val="001C7E35"/>
    <w:rsid w:val="001D189F"/>
    <w:rsid w:val="001D3ADD"/>
    <w:rsid w:val="001D4FCC"/>
    <w:rsid w:val="001D6780"/>
    <w:rsid w:val="001D72A1"/>
    <w:rsid w:val="001D7F1D"/>
    <w:rsid w:val="001E2A4A"/>
    <w:rsid w:val="001E3419"/>
    <w:rsid w:val="001E3C06"/>
    <w:rsid w:val="001F0037"/>
    <w:rsid w:val="001F0BE9"/>
    <w:rsid w:val="001F24D2"/>
    <w:rsid w:val="001F5824"/>
    <w:rsid w:val="001F67AA"/>
    <w:rsid w:val="00202D79"/>
    <w:rsid w:val="00203616"/>
    <w:rsid w:val="00203BD1"/>
    <w:rsid w:val="00205D2F"/>
    <w:rsid w:val="002111E6"/>
    <w:rsid w:val="002156E8"/>
    <w:rsid w:val="00215957"/>
    <w:rsid w:val="00215E8F"/>
    <w:rsid w:val="00216038"/>
    <w:rsid w:val="00217244"/>
    <w:rsid w:val="00221A93"/>
    <w:rsid w:val="00221E50"/>
    <w:rsid w:val="00224888"/>
    <w:rsid w:val="0022707D"/>
    <w:rsid w:val="00227A53"/>
    <w:rsid w:val="002309DF"/>
    <w:rsid w:val="00231173"/>
    <w:rsid w:val="00231AD1"/>
    <w:rsid w:val="002322BB"/>
    <w:rsid w:val="002327D5"/>
    <w:rsid w:val="00232F07"/>
    <w:rsid w:val="002406DC"/>
    <w:rsid w:val="00241966"/>
    <w:rsid w:val="002444D7"/>
    <w:rsid w:val="0024768D"/>
    <w:rsid w:val="002478BA"/>
    <w:rsid w:val="00251254"/>
    <w:rsid w:val="00254573"/>
    <w:rsid w:val="002548D1"/>
    <w:rsid w:val="00254CB7"/>
    <w:rsid w:val="00255298"/>
    <w:rsid w:val="00260743"/>
    <w:rsid w:val="00271613"/>
    <w:rsid w:val="0027215C"/>
    <w:rsid w:val="0027283B"/>
    <w:rsid w:val="0027574C"/>
    <w:rsid w:val="00276A48"/>
    <w:rsid w:val="00277C99"/>
    <w:rsid w:val="0028019B"/>
    <w:rsid w:val="00281438"/>
    <w:rsid w:val="00281C78"/>
    <w:rsid w:val="00282E73"/>
    <w:rsid w:val="00283CAB"/>
    <w:rsid w:val="0028525A"/>
    <w:rsid w:val="00292B5D"/>
    <w:rsid w:val="00294001"/>
    <w:rsid w:val="002941BA"/>
    <w:rsid w:val="002950D4"/>
    <w:rsid w:val="002967B8"/>
    <w:rsid w:val="002A04EC"/>
    <w:rsid w:val="002A1B98"/>
    <w:rsid w:val="002A213D"/>
    <w:rsid w:val="002A2322"/>
    <w:rsid w:val="002A2966"/>
    <w:rsid w:val="002A3FEF"/>
    <w:rsid w:val="002A77E5"/>
    <w:rsid w:val="002B06A6"/>
    <w:rsid w:val="002B1C77"/>
    <w:rsid w:val="002B54A6"/>
    <w:rsid w:val="002B5AB2"/>
    <w:rsid w:val="002B5F95"/>
    <w:rsid w:val="002C16CC"/>
    <w:rsid w:val="002C55A4"/>
    <w:rsid w:val="002C5CB9"/>
    <w:rsid w:val="002C72A7"/>
    <w:rsid w:val="002D3481"/>
    <w:rsid w:val="002D36AC"/>
    <w:rsid w:val="002D63BF"/>
    <w:rsid w:val="002E09D3"/>
    <w:rsid w:val="002E70C9"/>
    <w:rsid w:val="002F00B8"/>
    <w:rsid w:val="002F13C6"/>
    <w:rsid w:val="002F1F51"/>
    <w:rsid w:val="002F27BD"/>
    <w:rsid w:val="002F3EE9"/>
    <w:rsid w:val="002F7475"/>
    <w:rsid w:val="002F7681"/>
    <w:rsid w:val="003014E9"/>
    <w:rsid w:val="003015EF"/>
    <w:rsid w:val="00302A06"/>
    <w:rsid w:val="003037E6"/>
    <w:rsid w:val="0030564C"/>
    <w:rsid w:val="00306FAF"/>
    <w:rsid w:val="003078F8"/>
    <w:rsid w:val="00307F76"/>
    <w:rsid w:val="00310C6E"/>
    <w:rsid w:val="003128DA"/>
    <w:rsid w:val="00313114"/>
    <w:rsid w:val="00313C11"/>
    <w:rsid w:val="003149C0"/>
    <w:rsid w:val="003166A5"/>
    <w:rsid w:val="00320088"/>
    <w:rsid w:val="003216FB"/>
    <w:rsid w:val="00321FBB"/>
    <w:rsid w:val="00322D05"/>
    <w:rsid w:val="00323B18"/>
    <w:rsid w:val="00324DB2"/>
    <w:rsid w:val="00330832"/>
    <w:rsid w:val="003313EA"/>
    <w:rsid w:val="00331922"/>
    <w:rsid w:val="00333FAA"/>
    <w:rsid w:val="0033510D"/>
    <w:rsid w:val="003355D7"/>
    <w:rsid w:val="0033777B"/>
    <w:rsid w:val="00343031"/>
    <w:rsid w:val="00344273"/>
    <w:rsid w:val="00345A35"/>
    <w:rsid w:val="003469DF"/>
    <w:rsid w:val="00350AC1"/>
    <w:rsid w:val="003532B6"/>
    <w:rsid w:val="00353F6F"/>
    <w:rsid w:val="003605D1"/>
    <w:rsid w:val="00360AB2"/>
    <w:rsid w:val="00360D7F"/>
    <w:rsid w:val="003613CA"/>
    <w:rsid w:val="0036201C"/>
    <w:rsid w:val="0036246A"/>
    <w:rsid w:val="00364EC6"/>
    <w:rsid w:val="00365226"/>
    <w:rsid w:val="00365282"/>
    <w:rsid w:val="0036658F"/>
    <w:rsid w:val="003701B6"/>
    <w:rsid w:val="003724A4"/>
    <w:rsid w:val="0037323C"/>
    <w:rsid w:val="00376768"/>
    <w:rsid w:val="0037755F"/>
    <w:rsid w:val="00377569"/>
    <w:rsid w:val="00380F87"/>
    <w:rsid w:val="003816DE"/>
    <w:rsid w:val="00382551"/>
    <w:rsid w:val="00382558"/>
    <w:rsid w:val="0038457E"/>
    <w:rsid w:val="003A1686"/>
    <w:rsid w:val="003A21D8"/>
    <w:rsid w:val="003A3205"/>
    <w:rsid w:val="003A353F"/>
    <w:rsid w:val="003A4191"/>
    <w:rsid w:val="003A684D"/>
    <w:rsid w:val="003A7917"/>
    <w:rsid w:val="003B238C"/>
    <w:rsid w:val="003B6BCF"/>
    <w:rsid w:val="003B7AA4"/>
    <w:rsid w:val="003C0DB1"/>
    <w:rsid w:val="003C270D"/>
    <w:rsid w:val="003C3582"/>
    <w:rsid w:val="003C3CCE"/>
    <w:rsid w:val="003C4B57"/>
    <w:rsid w:val="003C79AD"/>
    <w:rsid w:val="003D1908"/>
    <w:rsid w:val="003D2AB7"/>
    <w:rsid w:val="003D3453"/>
    <w:rsid w:val="003E4290"/>
    <w:rsid w:val="003E7BA1"/>
    <w:rsid w:val="003F0DD6"/>
    <w:rsid w:val="003F1BAF"/>
    <w:rsid w:val="003F200F"/>
    <w:rsid w:val="003F237B"/>
    <w:rsid w:val="003F3AFD"/>
    <w:rsid w:val="004006F8"/>
    <w:rsid w:val="004016C1"/>
    <w:rsid w:val="00403153"/>
    <w:rsid w:val="00404C62"/>
    <w:rsid w:val="00404D4D"/>
    <w:rsid w:val="004076C8"/>
    <w:rsid w:val="00410AC9"/>
    <w:rsid w:val="004169D2"/>
    <w:rsid w:val="00417CD8"/>
    <w:rsid w:val="004207E3"/>
    <w:rsid w:val="00421A4C"/>
    <w:rsid w:val="004238C2"/>
    <w:rsid w:val="004301B2"/>
    <w:rsid w:val="00433AD4"/>
    <w:rsid w:val="00435B5D"/>
    <w:rsid w:val="004363F7"/>
    <w:rsid w:val="004366DC"/>
    <w:rsid w:val="00437CCA"/>
    <w:rsid w:val="00443E7A"/>
    <w:rsid w:val="0044525C"/>
    <w:rsid w:val="004463D2"/>
    <w:rsid w:val="00447C9A"/>
    <w:rsid w:val="00451C1D"/>
    <w:rsid w:val="00451DFA"/>
    <w:rsid w:val="004553F1"/>
    <w:rsid w:val="00456B9A"/>
    <w:rsid w:val="00457356"/>
    <w:rsid w:val="00462F9A"/>
    <w:rsid w:val="00465581"/>
    <w:rsid w:val="00466B02"/>
    <w:rsid w:val="0046740F"/>
    <w:rsid w:val="00467C34"/>
    <w:rsid w:val="00471C1F"/>
    <w:rsid w:val="004720B9"/>
    <w:rsid w:val="004732BA"/>
    <w:rsid w:val="00473460"/>
    <w:rsid w:val="00475094"/>
    <w:rsid w:val="00476AA9"/>
    <w:rsid w:val="004809FA"/>
    <w:rsid w:val="00481DA1"/>
    <w:rsid w:val="00483FC5"/>
    <w:rsid w:val="00486FE0"/>
    <w:rsid w:val="00490CA7"/>
    <w:rsid w:val="00490CD5"/>
    <w:rsid w:val="0049132A"/>
    <w:rsid w:val="0049457F"/>
    <w:rsid w:val="00494B92"/>
    <w:rsid w:val="00496EF3"/>
    <w:rsid w:val="004A4635"/>
    <w:rsid w:val="004A49EF"/>
    <w:rsid w:val="004A679C"/>
    <w:rsid w:val="004A6CCB"/>
    <w:rsid w:val="004A7943"/>
    <w:rsid w:val="004B051A"/>
    <w:rsid w:val="004B375E"/>
    <w:rsid w:val="004B4B31"/>
    <w:rsid w:val="004B687A"/>
    <w:rsid w:val="004C19F2"/>
    <w:rsid w:val="004C2D09"/>
    <w:rsid w:val="004C2F5C"/>
    <w:rsid w:val="004C4A75"/>
    <w:rsid w:val="004C51F7"/>
    <w:rsid w:val="004C5538"/>
    <w:rsid w:val="004C7D46"/>
    <w:rsid w:val="004C7DC4"/>
    <w:rsid w:val="004D1051"/>
    <w:rsid w:val="004D18F3"/>
    <w:rsid w:val="004D2DA0"/>
    <w:rsid w:val="004D3336"/>
    <w:rsid w:val="004D3E66"/>
    <w:rsid w:val="004D5D11"/>
    <w:rsid w:val="004D71F0"/>
    <w:rsid w:val="004D7B5F"/>
    <w:rsid w:val="004E14A4"/>
    <w:rsid w:val="004E587A"/>
    <w:rsid w:val="004E5EBE"/>
    <w:rsid w:val="004E72CB"/>
    <w:rsid w:val="004F261D"/>
    <w:rsid w:val="004F502C"/>
    <w:rsid w:val="004F54BD"/>
    <w:rsid w:val="004F56C5"/>
    <w:rsid w:val="00501204"/>
    <w:rsid w:val="005017EE"/>
    <w:rsid w:val="00502450"/>
    <w:rsid w:val="00506185"/>
    <w:rsid w:val="005062AC"/>
    <w:rsid w:val="0051163A"/>
    <w:rsid w:val="00513762"/>
    <w:rsid w:val="00514D60"/>
    <w:rsid w:val="0051695D"/>
    <w:rsid w:val="005201EF"/>
    <w:rsid w:val="00524B31"/>
    <w:rsid w:val="0052628D"/>
    <w:rsid w:val="0052667A"/>
    <w:rsid w:val="00527DA8"/>
    <w:rsid w:val="00533853"/>
    <w:rsid w:val="00534327"/>
    <w:rsid w:val="00534998"/>
    <w:rsid w:val="005354D0"/>
    <w:rsid w:val="00540001"/>
    <w:rsid w:val="005414CE"/>
    <w:rsid w:val="0054172C"/>
    <w:rsid w:val="0054590F"/>
    <w:rsid w:val="005459EC"/>
    <w:rsid w:val="00545A73"/>
    <w:rsid w:val="00546ECA"/>
    <w:rsid w:val="00550BA9"/>
    <w:rsid w:val="00550EC6"/>
    <w:rsid w:val="00553220"/>
    <w:rsid w:val="00555C80"/>
    <w:rsid w:val="00556B58"/>
    <w:rsid w:val="005621B5"/>
    <w:rsid w:val="00563EA4"/>
    <w:rsid w:val="0056471A"/>
    <w:rsid w:val="00565635"/>
    <w:rsid w:val="005669A9"/>
    <w:rsid w:val="00567A4F"/>
    <w:rsid w:val="00567CEB"/>
    <w:rsid w:val="0057014C"/>
    <w:rsid w:val="00570FB6"/>
    <w:rsid w:val="005718B5"/>
    <w:rsid w:val="005718C9"/>
    <w:rsid w:val="00571EE3"/>
    <w:rsid w:val="00573A87"/>
    <w:rsid w:val="005746D9"/>
    <w:rsid w:val="00576FC7"/>
    <w:rsid w:val="005808FB"/>
    <w:rsid w:val="005811F8"/>
    <w:rsid w:val="005824CD"/>
    <w:rsid w:val="005824DA"/>
    <w:rsid w:val="00582605"/>
    <w:rsid w:val="005851F5"/>
    <w:rsid w:val="00585E3D"/>
    <w:rsid w:val="00586517"/>
    <w:rsid w:val="00586E90"/>
    <w:rsid w:val="00587312"/>
    <w:rsid w:val="00590B64"/>
    <w:rsid w:val="00591016"/>
    <w:rsid w:val="005936B2"/>
    <w:rsid w:val="00597994"/>
    <w:rsid w:val="005A746C"/>
    <w:rsid w:val="005B395C"/>
    <w:rsid w:val="005B3F67"/>
    <w:rsid w:val="005B7AAE"/>
    <w:rsid w:val="005C108F"/>
    <w:rsid w:val="005C1646"/>
    <w:rsid w:val="005C2541"/>
    <w:rsid w:val="005C3A5F"/>
    <w:rsid w:val="005C44C5"/>
    <w:rsid w:val="005C569A"/>
    <w:rsid w:val="005C7413"/>
    <w:rsid w:val="005D081B"/>
    <w:rsid w:val="005D2B32"/>
    <w:rsid w:val="005D3257"/>
    <w:rsid w:val="005D548F"/>
    <w:rsid w:val="005D6832"/>
    <w:rsid w:val="005D6EF5"/>
    <w:rsid w:val="005E206A"/>
    <w:rsid w:val="005E3A10"/>
    <w:rsid w:val="005E4C7E"/>
    <w:rsid w:val="005E6FD8"/>
    <w:rsid w:val="005E7509"/>
    <w:rsid w:val="005F02E5"/>
    <w:rsid w:val="005F2899"/>
    <w:rsid w:val="005F28BB"/>
    <w:rsid w:val="005F3D16"/>
    <w:rsid w:val="005F7CEF"/>
    <w:rsid w:val="00601D7F"/>
    <w:rsid w:val="006052F9"/>
    <w:rsid w:val="00605A4C"/>
    <w:rsid w:val="0060628F"/>
    <w:rsid w:val="0061331A"/>
    <w:rsid w:val="00614948"/>
    <w:rsid w:val="0062091E"/>
    <w:rsid w:val="00621CF1"/>
    <w:rsid w:val="006234AD"/>
    <w:rsid w:val="00623A36"/>
    <w:rsid w:val="00624938"/>
    <w:rsid w:val="006271DB"/>
    <w:rsid w:val="006275FD"/>
    <w:rsid w:val="0062796F"/>
    <w:rsid w:val="006316EE"/>
    <w:rsid w:val="00633994"/>
    <w:rsid w:val="00635C26"/>
    <w:rsid w:val="00642F7A"/>
    <w:rsid w:val="00645B8B"/>
    <w:rsid w:val="00655044"/>
    <w:rsid w:val="00656317"/>
    <w:rsid w:val="006565D9"/>
    <w:rsid w:val="006617A7"/>
    <w:rsid w:val="0066365D"/>
    <w:rsid w:val="00664ACB"/>
    <w:rsid w:val="00664D7A"/>
    <w:rsid w:val="00666922"/>
    <w:rsid w:val="00667DAE"/>
    <w:rsid w:val="00670692"/>
    <w:rsid w:val="00670F17"/>
    <w:rsid w:val="006710C7"/>
    <w:rsid w:val="00672C11"/>
    <w:rsid w:val="00674AE2"/>
    <w:rsid w:val="00676888"/>
    <w:rsid w:val="00677D09"/>
    <w:rsid w:val="00683E71"/>
    <w:rsid w:val="00684D1B"/>
    <w:rsid w:val="006874A0"/>
    <w:rsid w:val="006907DD"/>
    <w:rsid w:val="00694089"/>
    <w:rsid w:val="00696A83"/>
    <w:rsid w:val="00696C18"/>
    <w:rsid w:val="006A3403"/>
    <w:rsid w:val="006A6543"/>
    <w:rsid w:val="006A6CB1"/>
    <w:rsid w:val="006B12A7"/>
    <w:rsid w:val="006B4995"/>
    <w:rsid w:val="006B6983"/>
    <w:rsid w:val="006B6C97"/>
    <w:rsid w:val="006B6D68"/>
    <w:rsid w:val="006B6EC0"/>
    <w:rsid w:val="006C0620"/>
    <w:rsid w:val="006C20C8"/>
    <w:rsid w:val="006C576D"/>
    <w:rsid w:val="006C580A"/>
    <w:rsid w:val="006C6C65"/>
    <w:rsid w:val="006C6D03"/>
    <w:rsid w:val="006C7DE0"/>
    <w:rsid w:val="006D1E69"/>
    <w:rsid w:val="006D3807"/>
    <w:rsid w:val="006D7614"/>
    <w:rsid w:val="006E26DC"/>
    <w:rsid w:val="006E31FA"/>
    <w:rsid w:val="006E3D4C"/>
    <w:rsid w:val="006E6048"/>
    <w:rsid w:val="006F057C"/>
    <w:rsid w:val="006F057F"/>
    <w:rsid w:val="006F1751"/>
    <w:rsid w:val="006F22DA"/>
    <w:rsid w:val="006F2EB3"/>
    <w:rsid w:val="006F3436"/>
    <w:rsid w:val="006F3B47"/>
    <w:rsid w:val="007004FC"/>
    <w:rsid w:val="00700E0E"/>
    <w:rsid w:val="00701421"/>
    <w:rsid w:val="0071078B"/>
    <w:rsid w:val="007110BC"/>
    <w:rsid w:val="007112D1"/>
    <w:rsid w:val="007116B1"/>
    <w:rsid w:val="0071252F"/>
    <w:rsid w:val="00714BEE"/>
    <w:rsid w:val="007164E2"/>
    <w:rsid w:val="00721215"/>
    <w:rsid w:val="00721C3E"/>
    <w:rsid w:val="00721C4F"/>
    <w:rsid w:val="00722A54"/>
    <w:rsid w:val="0072440F"/>
    <w:rsid w:val="00730C2B"/>
    <w:rsid w:val="0073433C"/>
    <w:rsid w:val="00736ACD"/>
    <w:rsid w:val="007400CF"/>
    <w:rsid w:val="007410F0"/>
    <w:rsid w:val="00741795"/>
    <w:rsid w:val="00747653"/>
    <w:rsid w:val="0076112D"/>
    <w:rsid w:val="00762BA3"/>
    <w:rsid w:val="007647FB"/>
    <w:rsid w:val="00770066"/>
    <w:rsid w:val="007701CD"/>
    <w:rsid w:val="00770B04"/>
    <w:rsid w:val="007716A9"/>
    <w:rsid w:val="00774F5F"/>
    <w:rsid w:val="00776FEF"/>
    <w:rsid w:val="00784AE4"/>
    <w:rsid w:val="00791BEF"/>
    <w:rsid w:val="00794827"/>
    <w:rsid w:val="00794F12"/>
    <w:rsid w:val="007958E2"/>
    <w:rsid w:val="007A073D"/>
    <w:rsid w:val="007A4CB0"/>
    <w:rsid w:val="007A509C"/>
    <w:rsid w:val="007A561F"/>
    <w:rsid w:val="007B17B0"/>
    <w:rsid w:val="007B23FC"/>
    <w:rsid w:val="007B2A25"/>
    <w:rsid w:val="007B5E29"/>
    <w:rsid w:val="007B6FED"/>
    <w:rsid w:val="007C08D3"/>
    <w:rsid w:val="007C4E80"/>
    <w:rsid w:val="007D0C1D"/>
    <w:rsid w:val="007D2000"/>
    <w:rsid w:val="007D32C9"/>
    <w:rsid w:val="007D4B5A"/>
    <w:rsid w:val="007D4DBF"/>
    <w:rsid w:val="007D610E"/>
    <w:rsid w:val="007D6185"/>
    <w:rsid w:val="007E05A0"/>
    <w:rsid w:val="007E17F7"/>
    <w:rsid w:val="007E2A30"/>
    <w:rsid w:val="007E4732"/>
    <w:rsid w:val="007E4B6E"/>
    <w:rsid w:val="007E4BA4"/>
    <w:rsid w:val="007E505F"/>
    <w:rsid w:val="007E58B2"/>
    <w:rsid w:val="007E7F82"/>
    <w:rsid w:val="007F004E"/>
    <w:rsid w:val="007F335A"/>
    <w:rsid w:val="007F6079"/>
    <w:rsid w:val="00800ADA"/>
    <w:rsid w:val="00803104"/>
    <w:rsid w:val="0080658D"/>
    <w:rsid w:val="008069B9"/>
    <w:rsid w:val="00806BCB"/>
    <w:rsid w:val="00807354"/>
    <w:rsid w:val="008113C6"/>
    <w:rsid w:val="008114B2"/>
    <w:rsid w:val="00812901"/>
    <w:rsid w:val="00813843"/>
    <w:rsid w:val="008155B6"/>
    <w:rsid w:val="008216CE"/>
    <w:rsid w:val="00823B64"/>
    <w:rsid w:val="00826B9A"/>
    <w:rsid w:val="00826F2B"/>
    <w:rsid w:val="0083142A"/>
    <w:rsid w:val="00833F09"/>
    <w:rsid w:val="0084041D"/>
    <w:rsid w:val="00842757"/>
    <w:rsid w:val="00842D5F"/>
    <w:rsid w:val="008438C2"/>
    <w:rsid w:val="00843CC2"/>
    <w:rsid w:val="0084742F"/>
    <w:rsid w:val="0085266D"/>
    <w:rsid w:val="00857B51"/>
    <w:rsid w:val="00861596"/>
    <w:rsid w:val="00863C92"/>
    <w:rsid w:val="00872154"/>
    <w:rsid w:val="008757FB"/>
    <w:rsid w:val="008772D7"/>
    <w:rsid w:val="00877E98"/>
    <w:rsid w:val="0089200A"/>
    <w:rsid w:val="008935EF"/>
    <w:rsid w:val="00894917"/>
    <w:rsid w:val="00895F04"/>
    <w:rsid w:val="008A0CCE"/>
    <w:rsid w:val="008A1BF9"/>
    <w:rsid w:val="008A32C3"/>
    <w:rsid w:val="008A5AA0"/>
    <w:rsid w:val="008A6596"/>
    <w:rsid w:val="008A7B2D"/>
    <w:rsid w:val="008B509F"/>
    <w:rsid w:val="008C2AEA"/>
    <w:rsid w:val="008C7D83"/>
    <w:rsid w:val="008D230A"/>
    <w:rsid w:val="008D2D38"/>
    <w:rsid w:val="008E224D"/>
    <w:rsid w:val="008E2DA4"/>
    <w:rsid w:val="008E3215"/>
    <w:rsid w:val="008E55AB"/>
    <w:rsid w:val="008E6D2F"/>
    <w:rsid w:val="008F0B92"/>
    <w:rsid w:val="008F1112"/>
    <w:rsid w:val="008F25E7"/>
    <w:rsid w:val="008F5F96"/>
    <w:rsid w:val="008F7770"/>
    <w:rsid w:val="0090330F"/>
    <w:rsid w:val="00905ACC"/>
    <w:rsid w:val="00906DB4"/>
    <w:rsid w:val="00907157"/>
    <w:rsid w:val="00920DE9"/>
    <w:rsid w:val="0092327C"/>
    <w:rsid w:val="0092334B"/>
    <w:rsid w:val="0092530B"/>
    <w:rsid w:val="00926CF4"/>
    <w:rsid w:val="00927E04"/>
    <w:rsid w:val="009312CB"/>
    <w:rsid w:val="00931A6F"/>
    <w:rsid w:val="009321E0"/>
    <w:rsid w:val="00932BBC"/>
    <w:rsid w:val="0093365B"/>
    <w:rsid w:val="009341A6"/>
    <w:rsid w:val="009346B8"/>
    <w:rsid w:val="009349F6"/>
    <w:rsid w:val="009350A7"/>
    <w:rsid w:val="0094208C"/>
    <w:rsid w:val="00942820"/>
    <w:rsid w:val="009429C2"/>
    <w:rsid w:val="00942F17"/>
    <w:rsid w:val="00943236"/>
    <w:rsid w:val="00943D99"/>
    <w:rsid w:val="00945013"/>
    <w:rsid w:val="00945721"/>
    <w:rsid w:val="009471E1"/>
    <w:rsid w:val="009474B6"/>
    <w:rsid w:val="00947864"/>
    <w:rsid w:val="009505DC"/>
    <w:rsid w:val="00952794"/>
    <w:rsid w:val="009527E1"/>
    <w:rsid w:val="00952CEF"/>
    <w:rsid w:val="009532AF"/>
    <w:rsid w:val="00954B2B"/>
    <w:rsid w:val="00955421"/>
    <w:rsid w:val="0096129D"/>
    <w:rsid w:val="00965A7F"/>
    <w:rsid w:val="00966A68"/>
    <w:rsid w:val="00967908"/>
    <w:rsid w:val="0097171C"/>
    <w:rsid w:val="0097295E"/>
    <w:rsid w:val="00972CDD"/>
    <w:rsid w:val="00976855"/>
    <w:rsid w:val="00980B8F"/>
    <w:rsid w:val="00981081"/>
    <w:rsid w:val="0098520F"/>
    <w:rsid w:val="00986E3A"/>
    <w:rsid w:val="00990E9C"/>
    <w:rsid w:val="0099191B"/>
    <w:rsid w:val="00992E18"/>
    <w:rsid w:val="00994542"/>
    <w:rsid w:val="00994908"/>
    <w:rsid w:val="0099495E"/>
    <w:rsid w:val="009A00B3"/>
    <w:rsid w:val="009A122C"/>
    <w:rsid w:val="009A4F8F"/>
    <w:rsid w:val="009A5428"/>
    <w:rsid w:val="009A7D91"/>
    <w:rsid w:val="009B1227"/>
    <w:rsid w:val="009B160B"/>
    <w:rsid w:val="009B4B25"/>
    <w:rsid w:val="009B6688"/>
    <w:rsid w:val="009B760E"/>
    <w:rsid w:val="009C237B"/>
    <w:rsid w:val="009C33FA"/>
    <w:rsid w:val="009C35D6"/>
    <w:rsid w:val="009C4DD1"/>
    <w:rsid w:val="009C51B7"/>
    <w:rsid w:val="009D26F0"/>
    <w:rsid w:val="009D50EB"/>
    <w:rsid w:val="009E2A7C"/>
    <w:rsid w:val="009E5285"/>
    <w:rsid w:val="009E5A93"/>
    <w:rsid w:val="009F3154"/>
    <w:rsid w:val="00A119A7"/>
    <w:rsid w:val="00A1211C"/>
    <w:rsid w:val="00A126EE"/>
    <w:rsid w:val="00A12FC1"/>
    <w:rsid w:val="00A14945"/>
    <w:rsid w:val="00A20113"/>
    <w:rsid w:val="00A20D78"/>
    <w:rsid w:val="00A2128B"/>
    <w:rsid w:val="00A21C11"/>
    <w:rsid w:val="00A2215F"/>
    <w:rsid w:val="00A22839"/>
    <w:rsid w:val="00A233CE"/>
    <w:rsid w:val="00A23B35"/>
    <w:rsid w:val="00A23E19"/>
    <w:rsid w:val="00A25B0C"/>
    <w:rsid w:val="00A301F8"/>
    <w:rsid w:val="00A317B3"/>
    <w:rsid w:val="00A33185"/>
    <w:rsid w:val="00A348A1"/>
    <w:rsid w:val="00A36455"/>
    <w:rsid w:val="00A36664"/>
    <w:rsid w:val="00A40F06"/>
    <w:rsid w:val="00A42057"/>
    <w:rsid w:val="00A43F69"/>
    <w:rsid w:val="00A44D8D"/>
    <w:rsid w:val="00A45FE8"/>
    <w:rsid w:val="00A504D1"/>
    <w:rsid w:val="00A51C2E"/>
    <w:rsid w:val="00A52125"/>
    <w:rsid w:val="00A521D5"/>
    <w:rsid w:val="00A527DA"/>
    <w:rsid w:val="00A53B04"/>
    <w:rsid w:val="00A56CD3"/>
    <w:rsid w:val="00A63629"/>
    <w:rsid w:val="00A6412A"/>
    <w:rsid w:val="00A661F4"/>
    <w:rsid w:val="00A66326"/>
    <w:rsid w:val="00A6701D"/>
    <w:rsid w:val="00A7098E"/>
    <w:rsid w:val="00A7271A"/>
    <w:rsid w:val="00A7330D"/>
    <w:rsid w:val="00A74D79"/>
    <w:rsid w:val="00A81E19"/>
    <w:rsid w:val="00A826C1"/>
    <w:rsid w:val="00A834C2"/>
    <w:rsid w:val="00A85BC4"/>
    <w:rsid w:val="00A901AA"/>
    <w:rsid w:val="00A924C8"/>
    <w:rsid w:val="00A93AC5"/>
    <w:rsid w:val="00A95FAC"/>
    <w:rsid w:val="00A9723B"/>
    <w:rsid w:val="00A97E6A"/>
    <w:rsid w:val="00AA1CB8"/>
    <w:rsid w:val="00AA7FC6"/>
    <w:rsid w:val="00AB2798"/>
    <w:rsid w:val="00AB4D8E"/>
    <w:rsid w:val="00AB640F"/>
    <w:rsid w:val="00AB6487"/>
    <w:rsid w:val="00AB795F"/>
    <w:rsid w:val="00AC6312"/>
    <w:rsid w:val="00AC6D47"/>
    <w:rsid w:val="00AC7DD8"/>
    <w:rsid w:val="00AD1E77"/>
    <w:rsid w:val="00AD2DEF"/>
    <w:rsid w:val="00AD35BD"/>
    <w:rsid w:val="00AD6AD8"/>
    <w:rsid w:val="00AD6B26"/>
    <w:rsid w:val="00AD6D80"/>
    <w:rsid w:val="00AD716D"/>
    <w:rsid w:val="00AE383B"/>
    <w:rsid w:val="00AE5C01"/>
    <w:rsid w:val="00AE6D57"/>
    <w:rsid w:val="00AF31F7"/>
    <w:rsid w:val="00AF442D"/>
    <w:rsid w:val="00AF6307"/>
    <w:rsid w:val="00AF6378"/>
    <w:rsid w:val="00AF671C"/>
    <w:rsid w:val="00AF7341"/>
    <w:rsid w:val="00AF7480"/>
    <w:rsid w:val="00B008A4"/>
    <w:rsid w:val="00B013EC"/>
    <w:rsid w:val="00B02170"/>
    <w:rsid w:val="00B06734"/>
    <w:rsid w:val="00B1160D"/>
    <w:rsid w:val="00B11ABE"/>
    <w:rsid w:val="00B139FB"/>
    <w:rsid w:val="00B21151"/>
    <w:rsid w:val="00B235D1"/>
    <w:rsid w:val="00B252EA"/>
    <w:rsid w:val="00B26263"/>
    <w:rsid w:val="00B30E3E"/>
    <w:rsid w:val="00B33642"/>
    <w:rsid w:val="00B338AD"/>
    <w:rsid w:val="00B33DEC"/>
    <w:rsid w:val="00B34ED5"/>
    <w:rsid w:val="00B356A7"/>
    <w:rsid w:val="00B357A3"/>
    <w:rsid w:val="00B42D01"/>
    <w:rsid w:val="00B444E6"/>
    <w:rsid w:val="00B44A98"/>
    <w:rsid w:val="00B50CDD"/>
    <w:rsid w:val="00B52011"/>
    <w:rsid w:val="00B5204A"/>
    <w:rsid w:val="00B52181"/>
    <w:rsid w:val="00B53E48"/>
    <w:rsid w:val="00B53EFF"/>
    <w:rsid w:val="00B54AFA"/>
    <w:rsid w:val="00B556CB"/>
    <w:rsid w:val="00B56534"/>
    <w:rsid w:val="00B5717C"/>
    <w:rsid w:val="00B671A4"/>
    <w:rsid w:val="00B70371"/>
    <w:rsid w:val="00B71E2E"/>
    <w:rsid w:val="00B74FFE"/>
    <w:rsid w:val="00B8048C"/>
    <w:rsid w:val="00B804E8"/>
    <w:rsid w:val="00B80B99"/>
    <w:rsid w:val="00B837BF"/>
    <w:rsid w:val="00B85828"/>
    <w:rsid w:val="00B85962"/>
    <w:rsid w:val="00B86CE4"/>
    <w:rsid w:val="00B91351"/>
    <w:rsid w:val="00BA0DFF"/>
    <w:rsid w:val="00BA3947"/>
    <w:rsid w:val="00BA7450"/>
    <w:rsid w:val="00BA7F46"/>
    <w:rsid w:val="00BB085F"/>
    <w:rsid w:val="00BB42C7"/>
    <w:rsid w:val="00BB4DE1"/>
    <w:rsid w:val="00BB6133"/>
    <w:rsid w:val="00BC1390"/>
    <w:rsid w:val="00BC206C"/>
    <w:rsid w:val="00BC3597"/>
    <w:rsid w:val="00BC3B92"/>
    <w:rsid w:val="00BC431A"/>
    <w:rsid w:val="00BC4B1A"/>
    <w:rsid w:val="00BC517E"/>
    <w:rsid w:val="00BD1396"/>
    <w:rsid w:val="00BD19D2"/>
    <w:rsid w:val="00BD2180"/>
    <w:rsid w:val="00BD2C08"/>
    <w:rsid w:val="00BD2D93"/>
    <w:rsid w:val="00BD344E"/>
    <w:rsid w:val="00BD3983"/>
    <w:rsid w:val="00BD4094"/>
    <w:rsid w:val="00BD4AB0"/>
    <w:rsid w:val="00BE016F"/>
    <w:rsid w:val="00BE4BB3"/>
    <w:rsid w:val="00BE5486"/>
    <w:rsid w:val="00BF0411"/>
    <w:rsid w:val="00BF5AFA"/>
    <w:rsid w:val="00BF6553"/>
    <w:rsid w:val="00BF7FA4"/>
    <w:rsid w:val="00C006B2"/>
    <w:rsid w:val="00C01A35"/>
    <w:rsid w:val="00C03772"/>
    <w:rsid w:val="00C03B65"/>
    <w:rsid w:val="00C04EDA"/>
    <w:rsid w:val="00C0538E"/>
    <w:rsid w:val="00C064ED"/>
    <w:rsid w:val="00C07DF7"/>
    <w:rsid w:val="00C119A2"/>
    <w:rsid w:val="00C17B20"/>
    <w:rsid w:val="00C205AF"/>
    <w:rsid w:val="00C257E4"/>
    <w:rsid w:val="00C302EA"/>
    <w:rsid w:val="00C32662"/>
    <w:rsid w:val="00C33D30"/>
    <w:rsid w:val="00C342C2"/>
    <w:rsid w:val="00C3681D"/>
    <w:rsid w:val="00C371C4"/>
    <w:rsid w:val="00C419F9"/>
    <w:rsid w:val="00C4712A"/>
    <w:rsid w:val="00C53136"/>
    <w:rsid w:val="00C53F1A"/>
    <w:rsid w:val="00C54E97"/>
    <w:rsid w:val="00C55D31"/>
    <w:rsid w:val="00C56302"/>
    <w:rsid w:val="00C57267"/>
    <w:rsid w:val="00C57E80"/>
    <w:rsid w:val="00C57F75"/>
    <w:rsid w:val="00C616FF"/>
    <w:rsid w:val="00C61C51"/>
    <w:rsid w:val="00C62B63"/>
    <w:rsid w:val="00C63321"/>
    <w:rsid w:val="00C66067"/>
    <w:rsid w:val="00C6691F"/>
    <w:rsid w:val="00C674B7"/>
    <w:rsid w:val="00C70120"/>
    <w:rsid w:val="00C7021E"/>
    <w:rsid w:val="00C71600"/>
    <w:rsid w:val="00C71BB5"/>
    <w:rsid w:val="00C72B5B"/>
    <w:rsid w:val="00C72E00"/>
    <w:rsid w:val="00C806FA"/>
    <w:rsid w:val="00C80C67"/>
    <w:rsid w:val="00C81270"/>
    <w:rsid w:val="00C8323F"/>
    <w:rsid w:val="00C83BE5"/>
    <w:rsid w:val="00C854F6"/>
    <w:rsid w:val="00C869F3"/>
    <w:rsid w:val="00C86CEF"/>
    <w:rsid w:val="00C915D2"/>
    <w:rsid w:val="00CA23A1"/>
    <w:rsid w:val="00CB489C"/>
    <w:rsid w:val="00CB6DE3"/>
    <w:rsid w:val="00CB7E36"/>
    <w:rsid w:val="00CC0A42"/>
    <w:rsid w:val="00CC11A2"/>
    <w:rsid w:val="00CC18AC"/>
    <w:rsid w:val="00CC4A05"/>
    <w:rsid w:val="00CD3D3B"/>
    <w:rsid w:val="00CD3E02"/>
    <w:rsid w:val="00CD4B7A"/>
    <w:rsid w:val="00CD4FC4"/>
    <w:rsid w:val="00CD5F0C"/>
    <w:rsid w:val="00CD6DC0"/>
    <w:rsid w:val="00CD7D5D"/>
    <w:rsid w:val="00CE02F3"/>
    <w:rsid w:val="00CE0CFA"/>
    <w:rsid w:val="00CE196F"/>
    <w:rsid w:val="00CE2DEA"/>
    <w:rsid w:val="00CE35A1"/>
    <w:rsid w:val="00CE49D0"/>
    <w:rsid w:val="00CE4F72"/>
    <w:rsid w:val="00CF0621"/>
    <w:rsid w:val="00CF0FC4"/>
    <w:rsid w:val="00CF2CA9"/>
    <w:rsid w:val="00CF6676"/>
    <w:rsid w:val="00CF6932"/>
    <w:rsid w:val="00CF6EFE"/>
    <w:rsid w:val="00CF6F02"/>
    <w:rsid w:val="00D01C15"/>
    <w:rsid w:val="00D01FE3"/>
    <w:rsid w:val="00D026D9"/>
    <w:rsid w:val="00D0381E"/>
    <w:rsid w:val="00D06375"/>
    <w:rsid w:val="00D06CA3"/>
    <w:rsid w:val="00D07F46"/>
    <w:rsid w:val="00D12F61"/>
    <w:rsid w:val="00D1331C"/>
    <w:rsid w:val="00D1644D"/>
    <w:rsid w:val="00D16E10"/>
    <w:rsid w:val="00D170E5"/>
    <w:rsid w:val="00D201C2"/>
    <w:rsid w:val="00D20720"/>
    <w:rsid w:val="00D22CFF"/>
    <w:rsid w:val="00D240F4"/>
    <w:rsid w:val="00D2485B"/>
    <w:rsid w:val="00D253CC"/>
    <w:rsid w:val="00D25D1F"/>
    <w:rsid w:val="00D30418"/>
    <w:rsid w:val="00D35C25"/>
    <w:rsid w:val="00D37D0E"/>
    <w:rsid w:val="00D37F2F"/>
    <w:rsid w:val="00D415B9"/>
    <w:rsid w:val="00D46128"/>
    <w:rsid w:val="00D469CE"/>
    <w:rsid w:val="00D50C4A"/>
    <w:rsid w:val="00D511DB"/>
    <w:rsid w:val="00D528E8"/>
    <w:rsid w:val="00D54DF3"/>
    <w:rsid w:val="00D57C6A"/>
    <w:rsid w:val="00D625FE"/>
    <w:rsid w:val="00D65A53"/>
    <w:rsid w:val="00D67A92"/>
    <w:rsid w:val="00D67EBB"/>
    <w:rsid w:val="00D7048F"/>
    <w:rsid w:val="00D71567"/>
    <w:rsid w:val="00D71D4B"/>
    <w:rsid w:val="00D727DC"/>
    <w:rsid w:val="00D72C27"/>
    <w:rsid w:val="00D749A6"/>
    <w:rsid w:val="00D771D0"/>
    <w:rsid w:val="00D832FB"/>
    <w:rsid w:val="00D835CF"/>
    <w:rsid w:val="00D84F5C"/>
    <w:rsid w:val="00D85078"/>
    <w:rsid w:val="00D91224"/>
    <w:rsid w:val="00D95C69"/>
    <w:rsid w:val="00D96130"/>
    <w:rsid w:val="00D966C8"/>
    <w:rsid w:val="00DA0D26"/>
    <w:rsid w:val="00DA176F"/>
    <w:rsid w:val="00DA26FB"/>
    <w:rsid w:val="00DA3229"/>
    <w:rsid w:val="00DA36BE"/>
    <w:rsid w:val="00DB0D9C"/>
    <w:rsid w:val="00DB281B"/>
    <w:rsid w:val="00DB6C3D"/>
    <w:rsid w:val="00DB7B5F"/>
    <w:rsid w:val="00DC0758"/>
    <w:rsid w:val="00DC2C94"/>
    <w:rsid w:val="00DC43E7"/>
    <w:rsid w:val="00DC538C"/>
    <w:rsid w:val="00DC5ACF"/>
    <w:rsid w:val="00DC698B"/>
    <w:rsid w:val="00DD000D"/>
    <w:rsid w:val="00DD1522"/>
    <w:rsid w:val="00DD3573"/>
    <w:rsid w:val="00DD3727"/>
    <w:rsid w:val="00DD5995"/>
    <w:rsid w:val="00DD69F6"/>
    <w:rsid w:val="00DD7265"/>
    <w:rsid w:val="00DD7468"/>
    <w:rsid w:val="00DD7FDE"/>
    <w:rsid w:val="00DE1583"/>
    <w:rsid w:val="00DE25E9"/>
    <w:rsid w:val="00DE71D3"/>
    <w:rsid w:val="00DE72CF"/>
    <w:rsid w:val="00DF08A0"/>
    <w:rsid w:val="00E036F5"/>
    <w:rsid w:val="00E03F8C"/>
    <w:rsid w:val="00E04665"/>
    <w:rsid w:val="00E05D94"/>
    <w:rsid w:val="00E06EFB"/>
    <w:rsid w:val="00E12368"/>
    <w:rsid w:val="00E13BEF"/>
    <w:rsid w:val="00E14724"/>
    <w:rsid w:val="00E154A9"/>
    <w:rsid w:val="00E21B34"/>
    <w:rsid w:val="00E25359"/>
    <w:rsid w:val="00E26C88"/>
    <w:rsid w:val="00E30072"/>
    <w:rsid w:val="00E3047D"/>
    <w:rsid w:val="00E323D6"/>
    <w:rsid w:val="00E326C5"/>
    <w:rsid w:val="00E422CC"/>
    <w:rsid w:val="00E51AC3"/>
    <w:rsid w:val="00E5483C"/>
    <w:rsid w:val="00E54BA7"/>
    <w:rsid w:val="00E557F1"/>
    <w:rsid w:val="00E55AB7"/>
    <w:rsid w:val="00E55C08"/>
    <w:rsid w:val="00E55F0D"/>
    <w:rsid w:val="00E56988"/>
    <w:rsid w:val="00E60440"/>
    <w:rsid w:val="00E63347"/>
    <w:rsid w:val="00E67AB6"/>
    <w:rsid w:val="00E70760"/>
    <w:rsid w:val="00E70AE0"/>
    <w:rsid w:val="00E729EC"/>
    <w:rsid w:val="00E8019F"/>
    <w:rsid w:val="00E807F4"/>
    <w:rsid w:val="00E90854"/>
    <w:rsid w:val="00E92157"/>
    <w:rsid w:val="00E9253C"/>
    <w:rsid w:val="00E93100"/>
    <w:rsid w:val="00E950AC"/>
    <w:rsid w:val="00E96A59"/>
    <w:rsid w:val="00EA101D"/>
    <w:rsid w:val="00EA11AE"/>
    <w:rsid w:val="00EA13C9"/>
    <w:rsid w:val="00EA367F"/>
    <w:rsid w:val="00EA743E"/>
    <w:rsid w:val="00EA75A9"/>
    <w:rsid w:val="00EB0070"/>
    <w:rsid w:val="00EB0FA1"/>
    <w:rsid w:val="00EB3495"/>
    <w:rsid w:val="00EB3CF0"/>
    <w:rsid w:val="00EB45B5"/>
    <w:rsid w:val="00EB5E57"/>
    <w:rsid w:val="00EB61DB"/>
    <w:rsid w:val="00EC15B0"/>
    <w:rsid w:val="00EC3E14"/>
    <w:rsid w:val="00EC3FF8"/>
    <w:rsid w:val="00EC43BF"/>
    <w:rsid w:val="00EC6350"/>
    <w:rsid w:val="00ED09CC"/>
    <w:rsid w:val="00ED15A8"/>
    <w:rsid w:val="00ED1AD0"/>
    <w:rsid w:val="00ED367F"/>
    <w:rsid w:val="00ED4AFD"/>
    <w:rsid w:val="00ED5A91"/>
    <w:rsid w:val="00ED6776"/>
    <w:rsid w:val="00ED6C21"/>
    <w:rsid w:val="00ED7E8A"/>
    <w:rsid w:val="00ED7FF3"/>
    <w:rsid w:val="00EE4FBE"/>
    <w:rsid w:val="00EE6F76"/>
    <w:rsid w:val="00EE76AA"/>
    <w:rsid w:val="00EF4BF8"/>
    <w:rsid w:val="00EF5415"/>
    <w:rsid w:val="00EF62BB"/>
    <w:rsid w:val="00F038A1"/>
    <w:rsid w:val="00F04D19"/>
    <w:rsid w:val="00F0502D"/>
    <w:rsid w:val="00F06E4E"/>
    <w:rsid w:val="00F07AF3"/>
    <w:rsid w:val="00F1223D"/>
    <w:rsid w:val="00F13072"/>
    <w:rsid w:val="00F13778"/>
    <w:rsid w:val="00F238E0"/>
    <w:rsid w:val="00F24AA2"/>
    <w:rsid w:val="00F35C02"/>
    <w:rsid w:val="00F36AB8"/>
    <w:rsid w:val="00F37340"/>
    <w:rsid w:val="00F400D3"/>
    <w:rsid w:val="00F41E3D"/>
    <w:rsid w:val="00F42E1E"/>
    <w:rsid w:val="00F44BCD"/>
    <w:rsid w:val="00F51C9F"/>
    <w:rsid w:val="00F51E01"/>
    <w:rsid w:val="00F5649A"/>
    <w:rsid w:val="00F62CED"/>
    <w:rsid w:val="00F6369D"/>
    <w:rsid w:val="00F638B0"/>
    <w:rsid w:val="00F67DC5"/>
    <w:rsid w:val="00F726BE"/>
    <w:rsid w:val="00F76DCE"/>
    <w:rsid w:val="00F77C36"/>
    <w:rsid w:val="00F82342"/>
    <w:rsid w:val="00F833F3"/>
    <w:rsid w:val="00F84FC2"/>
    <w:rsid w:val="00F8516E"/>
    <w:rsid w:val="00F877DB"/>
    <w:rsid w:val="00F908EA"/>
    <w:rsid w:val="00F91AE4"/>
    <w:rsid w:val="00F93C8B"/>
    <w:rsid w:val="00F93DFC"/>
    <w:rsid w:val="00F959DD"/>
    <w:rsid w:val="00F960D5"/>
    <w:rsid w:val="00FA2C81"/>
    <w:rsid w:val="00FA596C"/>
    <w:rsid w:val="00FA6D4C"/>
    <w:rsid w:val="00FA713D"/>
    <w:rsid w:val="00FB1231"/>
    <w:rsid w:val="00FB5706"/>
    <w:rsid w:val="00FC0648"/>
    <w:rsid w:val="00FC1C5C"/>
    <w:rsid w:val="00FE17E2"/>
    <w:rsid w:val="00FE2515"/>
    <w:rsid w:val="00FE2763"/>
    <w:rsid w:val="00FE48D6"/>
    <w:rsid w:val="00FE71B8"/>
    <w:rsid w:val="00FE7291"/>
    <w:rsid w:val="00FF26A1"/>
    <w:rsid w:val="00FF41DC"/>
    <w:rsid w:val="00FF5868"/>
    <w:rsid w:val="00FF6072"/>
    <w:rsid w:val="00FF6724"/>
    <w:rsid w:val="00FF6E4B"/>
    <w:rsid w:val="00FF7C23"/>
    <w:rsid w:val="01433640"/>
    <w:rsid w:val="0146900D"/>
    <w:rsid w:val="01593EC3"/>
    <w:rsid w:val="016B23F2"/>
    <w:rsid w:val="022110AE"/>
    <w:rsid w:val="03329F82"/>
    <w:rsid w:val="03A814A8"/>
    <w:rsid w:val="03ACB8D5"/>
    <w:rsid w:val="03E496C6"/>
    <w:rsid w:val="03FB8DC6"/>
    <w:rsid w:val="043BC04A"/>
    <w:rsid w:val="04B175E6"/>
    <w:rsid w:val="0555D73A"/>
    <w:rsid w:val="0966F6E1"/>
    <w:rsid w:val="099ABA4A"/>
    <w:rsid w:val="0A1C6029"/>
    <w:rsid w:val="0A6C4423"/>
    <w:rsid w:val="0B3E736D"/>
    <w:rsid w:val="0B411562"/>
    <w:rsid w:val="0BC2DEF6"/>
    <w:rsid w:val="0BDF6292"/>
    <w:rsid w:val="0D8FD261"/>
    <w:rsid w:val="0DA3BC6D"/>
    <w:rsid w:val="0E6D302C"/>
    <w:rsid w:val="0EDA3C80"/>
    <w:rsid w:val="0F3660FA"/>
    <w:rsid w:val="0F615B18"/>
    <w:rsid w:val="0FCB9807"/>
    <w:rsid w:val="0FD16559"/>
    <w:rsid w:val="117D03F5"/>
    <w:rsid w:val="124849B8"/>
    <w:rsid w:val="131275DA"/>
    <w:rsid w:val="138FE8BC"/>
    <w:rsid w:val="14011CE2"/>
    <w:rsid w:val="147DDAB5"/>
    <w:rsid w:val="152BB91D"/>
    <w:rsid w:val="159CED43"/>
    <w:rsid w:val="15A7C901"/>
    <w:rsid w:val="16510F5B"/>
    <w:rsid w:val="165A4742"/>
    <w:rsid w:val="17F41994"/>
    <w:rsid w:val="1911CF34"/>
    <w:rsid w:val="19839CA6"/>
    <w:rsid w:val="19908547"/>
    <w:rsid w:val="1B345091"/>
    <w:rsid w:val="1C20BE71"/>
    <w:rsid w:val="1CA2ECB0"/>
    <w:rsid w:val="1CAD7103"/>
    <w:rsid w:val="1CC050DF"/>
    <w:rsid w:val="1D2D114E"/>
    <w:rsid w:val="1D4328D0"/>
    <w:rsid w:val="1DAFFE4E"/>
    <w:rsid w:val="1ED360F0"/>
    <w:rsid w:val="1FF7F1A1"/>
    <w:rsid w:val="21525D5D"/>
    <w:rsid w:val="21590DE1"/>
    <w:rsid w:val="21E88B65"/>
    <w:rsid w:val="21FD0589"/>
    <w:rsid w:val="224DF7B4"/>
    <w:rsid w:val="228E21CD"/>
    <w:rsid w:val="22FE0F8A"/>
    <w:rsid w:val="2323D29C"/>
    <w:rsid w:val="233F6276"/>
    <w:rsid w:val="2395C70D"/>
    <w:rsid w:val="239CA51D"/>
    <w:rsid w:val="23B6646C"/>
    <w:rsid w:val="2540A997"/>
    <w:rsid w:val="25A9AC82"/>
    <w:rsid w:val="2627802E"/>
    <w:rsid w:val="2652DABA"/>
    <w:rsid w:val="266F7AEC"/>
    <w:rsid w:val="2697ADCA"/>
    <w:rsid w:val="26C17BC2"/>
    <w:rsid w:val="27273798"/>
    <w:rsid w:val="272F05E4"/>
    <w:rsid w:val="2896C77B"/>
    <w:rsid w:val="2A141ABA"/>
    <w:rsid w:val="2A3297DC"/>
    <w:rsid w:val="2AFD2F22"/>
    <w:rsid w:val="2BB513B9"/>
    <w:rsid w:val="2BE7997A"/>
    <w:rsid w:val="2CFCF8EA"/>
    <w:rsid w:val="2D2D0EE4"/>
    <w:rsid w:val="2D363C95"/>
    <w:rsid w:val="2E3360E7"/>
    <w:rsid w:val="2E7A3290"/>
    <w:rsid w:val="2F527DBA"/>
    <w:rsid w:val="2FA78166"/>
    <w:rsid w:val="30DCE2B6"/>
    <w:rsid w:val="30E8B001"/>
    <w:rsid w:val="31C1A365"/>
    <w:rsid w:val="31DBFB62"/>
    <w:rsid w:val="32959AF1"/>
    <w:rsid w:val="342050C3"/>
    <w:rsid w:val="34F94427"/>
    <w:rsid w:val="353475EB"/>
    <w:rsid w:val="3542CDA2"/>
    <w:rsid w:val="359BD6B1"/>
    <w:rsid w:val="36555668"/>
    <w:rsid w:val="369E59E7"/>
    <w:rsid w:val="36EA4C34"/>
    <w:rsid w:val="38198876"/>
    <w:rsid w:val="3851F76D"/>
    <w:rsid w:val="3867FEFD"/>
    <w:rsid w:val="388E2BC1"/>
    <w:rsid w:val="38C1C16E"/>
    <w:rsid w:val="39469443"/>
    <w:rsid w:val="39F53799"/>
    <w:rsid w:val="3A11F911"/>
    <w:rsid w:val="3B04D91A"/>
    <w:rsid w:val="3B6885AB"/>
    <w:rsid w:val="3B83553A"/>
    <w:rsid w:val="3C281C75"/>
    <w:rsid w:val="3D04560C"/>
    <w:rsid w:val="3DEE8784"/>
    <w:rsid w:val="3E3B090C"/>
    <w:rsid w:val="3E5D8BB5"/>
    <w:rsid w:val="3EAB560E"/>
    <w:rsid w:val="3EE842FA"/>
    <w:rsid w:val="3F5E639C"/>
    <w:rsid w:val="3F6AF0F0"/>
    <w:rsid w:val="3FD6D96D"/>
    <w:rsid w:val="40376DDF"/>
    <w:rsid w:val="41135BDE"/>
    <w:rsid w:val="41A50220"/>
    <w:rsid w:val="41F9313F"/>
    <w:rsid w:val="420B2F41"/>
    <w:rsid w:val="4327029F"/>
    <w:rsid w:val="4329D738"/>
    <w:rsid w:val="432F10A7"/>
    <w:rsid w:val="4489AA1A"/>
    <w:rsid w:val="451074E0"/>
    <w:rsid w:val="464589DE"/>
    <w:rsid w:val="465CEC37"/>
    <w:rsid w:val="4800DDEE"/>
    <w:rsid w:val="4834D296"/>
    <w:rsid w:val="4841B726"/>
    <w:rsid w:val="48427FC4"/>
    <w:rsid w:val="4864F09A"/>
    <w:rsid w:val="48FFE0E7"/>
    <w:rsid w:val="490ADA77"/>
    <w:rsid w:val="49CFD7D8"/>
    <w:rsid w:val="4AF82C6B"/>
    <w:rsid w:val="4B7957E8"/>
    <w:rsid w:val="4B7BF020"/>
    <w:rsid w:val="4B9FCE33"/>
    <w:rsid w:val="4C1997BD"/>
    <w:rsid w:val="4C59440B"/>
    <w:rsid w:val="4CA9526B"/>
    <w:rsid w:val="4E0CAF6A"/>
    <w:rsid w:val="4E293F29"/>
    <w:rsid w:val="4E79B10C"/>
    <w:rsid w:val="4EB69F1D"/>
    <w:rsid w:val="4FFC4BBC"/>
    <w:rsid w:val="501F0C2D"/>
    <w:rsid w:val="513C0577"/>
    <w:rsid w:val="51922BEE"/>
    <w:rsid w:val="51A2BA77"/>
    <w:rsid w:val="51A96A9E"/>
    <w:rsid w:val="5297ED94"/>
    <w:rsid w:val="53AC1704"/>
    <w:rsid w:val="53CBE455"/>
    <w:rsid w:val="545DCA2B"/>
    <w:rsid w:val="54825E74"/>
    <w:rsid w:val="55DAD3D7"/>
    <w:rsid w:val="563D7DB8"/>
    <w:rsid w:val="5702E3CF"/>
    <w:rsid w:val="576EF44A"/>
    <w:rsid w:val="579D2652"/>
    <w:rsid w:val="58AEC545"/>
    <w:rsid w:val="5908CE47"/>
    <w:rsid w:val="5AD7F82A"/>
    <w:rsid w:val="5B8031D7"/>
    <w:rsid w:val="5B869B5B"/>
    <w:rsid w:val="5B976938"/>
    <w:rsid w:val="5BB74B86"/>
    <w:rsid w:val="5CC7DAFF"/>
    <w:rsid w:val="5D6A69B8"/>
    <w:rsid w:val="5F46A671"/>
    <w:rsid w:val="5F4BFF52"/>
    <w:rsid w:val="5FD8DED8"/>
    <w:rsid w:val="5FF87F98"/>
    <w:rsid w:val="6063DA54"/>
    <w:rsid w:val="607E2A7E"/>
    <w:rsid w:val="607F6FFF"/>
    <w:rsid w:val="60943FC5"/>
    <w:rsid w:val="61D5A8C4"/>
    <w:rsid w:val="630BC6FA"/>
    <w:rsid w:val="63A49F36"/>
    <w:rsid w:val="63ED6EAC"/>
    <w:rsid w:val="647EDC1B"/>
    <w:rsid w:val="6515D0EB"/>
    <w:rsid w:val="6545443D"/>
    <w:rsid w:val="65AC8976"/>
    <w:rsid w:val="6603F85F"/>
    <w:rsid w:val="66BC2C7A"/>
    <w:rsid w:val="6702B644"/>
    <w:rsid w:val="6708811E"/>
    <w:rsid w:val="670BF294"/>
    <w:rsid w:val="67565B71"/>
    <w:rsid w:val="676E6475"/>
    <w:rsid w:val="68DA36C5"/>
    <w:rsid w:val="69D355B5"/>
    <w:rsid w:val="69F6C955"/>
    <w:rsid w:val="6A13D2D5"/>
    <w:rsid w:val="6A2EE4E9"/>
    <w:rsid w:val="6A470224"/>
    <w:rsid w:val="6B914E81"/>
    <w:rsid w:val="6C1AC6B4"/>
    <w:rsid w:val="6DC59CF5"/>
    <w:rsid w:val="6DD90CBD"/>
    <w:rsid w:val="6DF762EB"/>
    <w:rsid w:val="6E79722C"/>
    <w:rsid w:val="6FC090F8"/>
    <w:rsid w:val="705DAE6F"/>
    <w:rsid w:val="70963998"/>
    <w:rsid w:val="715B98BB"/>
    <w:rsid w:val="715C6159"/>
    <w:rsid w:val="725047DE"/>
    <w:rsid w:val="72995FF3"/>
    <w:rsid w:val="72B10F40"/>
    <w:rsid w:val="72C4A452"/>
    <w:rsid w:val="72F831BA"/>
    <w:rsid w:val="72FE61DB"/>
    <w:rsid w:val="743A0717"/>
    <w:rsid w:val="743A77FA"/>
    <w:rsid w:val="74E94EA7"/>
    <w:rsid w:val="76294050"/>
    <w:rsid w:val="763DA27F"/>
    <w:rsid w:val="76A0C91C"/>
    <w:rsid w:val="76C969CB"/>
    <w:rsid w:val="76CFFE42"/>
    <w:rsid w:val="76F6F619"/>
    <w:rsid w:val="77204A6E"/>
    <w:rsid w:val="777D54B5"/>
    <w:rsid w:val="77CADA3F"/>
    <w:rsid w:val="7800924A"/>
    <w:rsid w:val="7A75D641"/>
    <w:rsid w:val="7A8A886D"/>
    <w:rsid w:val="7A90203E"/>
    <w:rsid w:val="7C561015"/>
    <w:rsid w:val="7D503B3F"/>
    <w:rsid w:val="7E850F52"/>
    <w:rsid w:val="7F2FB8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AFC306E9-8A20-4476-9573-51B43674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link w:val="Heading3Char"/>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paragraph" w:styleId="CommentText">
    <w:name w:val="annotation text"/>
    <w:basedOn w:val="Normal"/>
    <w:link w:val="CommentTextChar"/>
    <w:unhideWhenUsed/>
    <w:rsid w:val="002B5F95"/>
    <w:rPr>
      <w:sz w:val="20"/>
    </w:rPr>
  </w:style>
  <w:style w:type="character" w:customStyle="1" w:styleId="CommentTextChar">
    <w:name w:val="Comment Text Char"/>
    <w:basedOn w:val="DefaultParagraphFont"/>
    <w:link w:val="CommentText"/>
    <w:rsid w:val="002B5F95"/>
    <w:rPr>
      <w:rFonts w:ascii="Arial" w:hAnsi="Arial"/>
      <w:lang w:eastAsia="en-US"/>
    </w:rPr>
  </w:style>
  <w:style w:type="character" w:styleId="CommentReference">
    <w:name w:val="annotation reference"/>
    <w:basedOn w:val="DefaultParagraphFont"/>
    <w:semiHidden/>
    <w:unhideWhenUsed/>
    <w:rsid w:val="00ED367F"/>
    <w:rPr>
      <w:sz w:val="16"/>
      <w:szCs w:val="16"/>
    </w:rPr>
  </w:style>
  <w:style w:type="paragraph" w:styleId="CommentSubject">
    <w:name w:val="annotation subject"/>
    <w:basedOn w:val="CommentText"/>
    <w:next w:val="CommentText"/>
    <w:link w:val="CommentSubjectChar"/>
    <w:semiHidden/>
    <w:unhideWhenUsed/>
    <w:rsid w:val="00ED367F"/>
    <w:rPr>
      <w:b/>
      <w:bCs/>
    </w:rPr>
  </w:style>
  <w:style w:type="character" w:customStyle="1" w:styleId="CommentSubjectChar">
    <w:name w:val="Comment Subject Char"/>
    <w:basedOn w:val="CommentTextChar"/>
    <w:link w:val="CommentSubject"/>
    <w:semiHidden/>
    <w:rsid w:val="00ED367F"/>
    <w:rPr>
      <w:rFonts w:ascii="Arial" w:hAnsi="Arial"/>
      <w:b/>
      <w:bCs/>
      <w:lang w:eastAsia="en-US"/>
    </w:rPr>
  </w:style>
  <w:style w:type="paragraph" w:styleId="Revision">
    <w:name w:val="Revision"/>
    <w:hidden/>
    <w:uiPriority w:val="99"/>
    <w:semiHidden/>
    <w:rsid w:val="00A85BC4"/>
    <w:rPr>
      <w:rFonts w:ascii="Arial" w:hAnsi="Arial"/>
      <w:sz w:val="24"/>
      <w:lang w:eastAsia="en-US"/>
    </w:rPr>
  </w:style>
  <w:style w:type="character" w:customStyle="1" w:styleId="Heading3Char">
    <w:name w:val="Heading 3 Char"/>
    <w:basedOn w:val="DefaultParagraphFont"/>
    <w:link w:val="Heading3"/>
    <w:rsid w:val="009312CB"/>
    <w:rPr>
      <w:rFonts w:ascii="Arial" w:hAnsi="Arial" w:cs="Arial"/>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677">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54663176">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862205495">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80461819">
      <w:bodyDiv w:val="1"/>
      <w:marLeft w:val="0"/>
      <w:marRight w:val="0"/>
      <w:marTop w:val="0"/>
      <w:marBottom w:val="0"/>
      <w:divBdr>
        <w:top w:val="none" w:sz="0" w:space="0" w:color="auto"/>
        <w:left w:val="none" w:sz="0" w:space="0" w:color="auto"/>
        <w:bottom w:val="none" w:sz="0" w:space="0" w:color="auto"/>
        <w:right w:val="none" w:sz="0" w:space="0" w:color="auto"/>
      </w:divBdr>
    </w:div>
    <w:div w:id="1217476862">
      <w:bodyDiv w:val="1"/>
      <w:marLeft w:val="0"/>
      <w:marRight w:val="0"/>
      <w:marTop w:val="0"/>
      <w:marBottom w:val="0"/>
      <w:divBdr>
        <w:top w:val="none" w:sz="0" w:space="0" w:color="auto"/>
        <w:left w:val="none" w:sz="0" w:space="0" w:color="auto"/>
        <w:bottom w:val="none" w:sz="0" w:space="0" w:color="auto"/>
        <w:right w:val="none" w:sz="0" w:space="0" w:color="auto"/>
      </w:divBdr>
    </w:div>
    <w:div w:id="1283802862">
      <w:bodyDiv w:val="1"/>
      <w:marLeft w:val="0"/>
      <w:marRight w:val="0"/>
      <w:marTop w:val="0"/>
      <w:marBottom w:val="0"/>
      <w:divBdr>
        <w:top w:val="none" w:sz="0" w:space="0" w:color="auto"/>
        <w:left w:val="none" w:sz="0" w:space="0" w:color="auto"/>
        <w:bottom w:val="none" w:sz="0" w:space="0" w:color="auto"/>
        <w:right w:val="none" w:sz="0" w:space="0" w:color="auto"/>
      </w:divBdr>
    </w:div>
    <w:div w:id="1578898054">
      <w:bodyDiv w:val="1"/>
      <w:marLeft w:val="0"/>
      <w:marRight w:val="0"/>
      <w:marTop w:val="0"/>
      <w:marBottom w:val="0"/>
      <w:divBdr>
        <w:top w:val="none" w:sz="0" w:space="0" w:color="auto"/>
        <w:left w:val="none" w:sz="0" w:space="0" w:color="auto"/>
        <w:bottom w:val="none" w:sz="0" w:space="0" w:color="auto"/>
        <w:right w:val="none" w:sz="0" w:space="0" w:color="auto"/>
      </w:divBdr>
    </w:div>
    <w:div w:id="1610702133">
      <w:bodyDiv w:val="1"/>
      <w:marLeft w:val="0"/>
      <w:marRight w:val="0"/>
      <w:marTop w:val="0"/>
      <w:marBottom w:val="0"/>
      <w:divBdr>
        <w:top w:val="none" w:sz="0" w:space="0" w:color="auto"/>
        <w:left w:val="none" w:sz="0" w:space="0" w:color="auto"/>
        <w:bottom w:val="none" w:sz="0" w:space="0" w:color="auto"/>
        <w:right w:val="none" w:sz="0" w:space="0" w:color="auto"/>
      </w:divBdr>
    </w:div>
    <w:div w:id="1618020164">
      <w:bodyDiv w:val="1"/>
      <w:marLeft w:val="0"/>
      <w:marRight w:val="0"/>
      <w:marTop w:val="0"/>
      <w:marBottom w:val="0"/>
      <w:divBdr>
        <w:top w:val="none" w:sz="0" w:space="0" w:color="auto"/>
        <w:left w:val="none" w:sz="0" w:space="0" w:color="auto"/>
        <w:bottom w:val="none" w:sz="0" w:space="0" w:color="auto"/>
        <w:right w:val="none" w:sz="0" w:space="0" w:color="auto"/>
      </w:divBdr>
    </w:div>
    <w:div w:id="1718553276">
      <w:bodyDiv w:val="1"/>
      <w:marLeft w:val="0"/>
      <w:marRight w:val="0"/>
      <w:marTop w:val="0"/>
      <w:marBottom w:val="0"/>
      <w:divBdr>
        <w:top w:val="none" w:sz="0" w:space="0" w:color="auto"/>
        <w:left w:val="none" w:sz="0" w:space="0" w:color="auto"/>
        <w:bottom w:val="none" w:sz="0" w:space="0" w:color="auto"/>
        <w:right w:val="none" w:sz="0" w:space="0" w:color="auto"/>
      </w:divBdr>
    </w:div>
    <w:div w:id="1956252389">
      <w:bodyDiv w:val="1"/>
      <w:marLeft w:val="0"/>
      <w:marRight w:val="0"/>
      <w:marTop w:val="0"/>
      <w:marBottom w:val="0"/>
      <w:divBdr>
        <w:top w:val="none" w:sz="0" w:space="0" w:color="auto"/>
        <w:left w:val="none" w:sz="0" w:space="0" w:color="auto"/>
        <w:bottom w:val="none" w:sz="0" w:space="0" w:color="auto"/>
        <w:right w:val="none" w:sz="0" w:space="0" w:color="auto"/>
      </w:divBdr>
    </w:div>
    <w:div w:id="20767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Sklair@harrow.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D8884EA-FABC-4681-9BBB-B6DFDBDDBD5A}"/>
      </w:docPartPr>
      <w:docPartBody>
        <w:p w:rsidR="00E16DD7" w:rsidRDefault="00E16D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16DD7"/>
    <w:rsid w:val="00096841"/>
    <w:rsid w:val="00184CA1"/>
    <w:rsid w:val="001D4AD3"/>
    <w:rsid w:val="002151E8"/>
    <w:rsid w:val="00294916"/>
    <w:rsid w:val="002D5901"/>
    <w:rsid w:val="002E1A39"/>
    <w:rsid w:val="00456BC8"/>
    <w:rsid w:val="006B10ED"/>
    <w:rsid w:val="009C0C22"/>
    <w:rsid w:val="00A87042"/>
    <w:rsid w:val="00AD7F7E"/>
    <w:rsid w:val="00C97700"/>
    <w:rsid w:val="00CE4E5C"/>
    <w:rsid w:val="00D054C8"/>
    <w:rsid w:val="00D13DAF"/>
    <w:rsid w:val="00DD762E"/>
    <w:rsid w:val="00E16DD7"/>
    <w:rsid w:val="00E97073"/>
    <w:rsid w:val="00F53F24"/>
    <w:rsid w:val="00F871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2de052f-52e1-4488-b0d8-d4dc4a88abfd" xsi:nil="true"/>
    <lcf76f155ced4ddcb4097134ff3c332f xmlns="08d4eba4-850e-4a98-9cbb-b1050021cf07">
      <Terms xmlns="http://schemas.microsoft.com/office/infopath/2007/PartnerControls"/>
    </lcf76f155ced4ddcb4097134ff3c332f>
    <SharedWithUsers xmlns="02de052f-52e1-4488-b0d8-d4dc4a88abfd">
      <UserInfo>
        <DisplayName>Mavis Kusitor</DisplayName>
        <AccountId>20</AccountId>
        <AccountType/>
      </UserInfo>
      <UserInfo>
        <DisplayName>Mark Billington</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2208611908613468149A80BACCFEE23" ma:contentTypeVersion="13" ma:contentTypeDescription="Create a new document." ma:contentTypeScope="" ma:versionID="20794f9d511dd2c288eb90f34cd54503">
  <xsd:schema xmlns:xsd="http://www.w3.org/2001/XMLSchema" xmlns:xs="http://www.w3.org/2001/XMLSchema" xmlns:p="http://schemas.microsoft.com/office/2006/metadata/properties" xmlns:ns2="08d4eba4-850e-4a98-9cbb-b1050021cf07" xmlns:ns3="02de052f-52e1-4488-b0d8-d4dc4a88abfd" targetNamespace="http://schemas.microsoft.com/office/2006/metadata/properties" ma:root="true" ma:fieldsID="b684d28f596e8fdaa7b1c772dd272271" ns2:_="" ns3:_="">
    <xsd:import namespace="08d4eba4-850e-4a98-9cbb-b1050021cf07"/>
    <xsd:import namespace="02de052f-52e1-4488-b0d8-d4dc4a88ab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eba4-850e-4a98-9cbb-b1050021c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e052f-52e1-4488-b0d8-d4dc4a88ab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b396a39-ca4f-4e3c-ac7c-1ceced741783}" ma:internalName="TaxCatchAll" ma:showField="CatchAllData" ma:web="02de052f-52e1-4488-b0d8-d4dc4a88ab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3.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02de052f-52e1-4488-b0d8-d4dc4a88abfd"/>
    <ds:schemaRef ds:uri="08d4eba4-850e-4a98-9cbb-b1050021cf07"/>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04CEA7D3-81FF-4E5E-9126-940A9D52E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eba4-850e-4a98-9cbb-b1050021cf07"/>
    <ds:schemaRef ds:uri="02de052f-52e1-4488-b0d8-d4dc4a88a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3043</Words>
  <Characters>16812</Characters>
  <Application>Microsoft Office Word</Application>
  <DocSecurity>0</DocSecurity>
  <Lines>140</Lines>
  <Paragraphs>39</Paragraphs>
  <ScaleCrop>false</ScaleCrop>
  <Company>Harrow Council</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7</cp:revision>
  <cp:lastPrinted>2014-10-31T02:34:00Z</cp:lastPrinted>
  <dcterms:created xsi:type="dcterms:W3CDTF">2023-06-16T08:39:00Z</dcterms:created>
  <dcterms:modified xsi:type="dcterms:W3CDTF">2023-06-21T14:51:00Z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0x01010092208611908613468149A80BACCFEE23</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